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D6" w:rsidRDefault="00651267">
      <w:r>
        <w:rPr>
          <w:noProof/>
        </w:rPr>
        <w:drawing>
          <wp:inline distT="0" distB="0" distL="0" distR="0" wp14:anchorId="678455D6" wp14:editId="6DEC0ABA">
            <wp:extent cx="5943600" cy="225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53615"/>
                    </a:xfrm>
                    <a:prstGeom prst="rect">
                      <a:avLst/>
                    </a:prstGeom>
                  </pic:spPr>
                </pic:pic>
              </a:graphicData>
            </a:graphic>
          </wp:inline>
        </w:drawing>
      </w:r>
    </w:p>
    <w:p w:rsidR="00651267" w:rsidRDefault="00651267">
      <w:r>
        <w:rPr>
          <w:noProof/>
        </w:rPr>
        <w:drawing>
          <wp:inline distT="0" distB="0" distL="0" distR="0" wp14:anchorId="7EB2B173" wp14:editId="44B9E587">
            <wp:extent cx="5943600" cy="912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2495"/>
                    </a:xfrm>
                    <a:prstGeom prst="rect">
                      <a:avLst/>
                    </a:prstGeom>
                  </pic:spPr>
                </pic:pic>
              </a:graphicData>
            </a:graphic>
          </wp:inline>
        </w:drawing>
      </w:r>
    </w:p>
    <w:p w:rsidR="00651267" w:rsidRDefault="00651267"/>
    <w:tbl>
      <w:tblPr>
        <w:tblW w:w="5560" w:type="dxa"/>
        <w:shd w:val="clear" w:color="auto" w:fill="FFFFFF"/>
        <w:tblCellMar>
          <w:left w:w="0" w:type="dxa"/>
          <w:right w:w="0" w:type="dxa"/>
        </w:tblCellMar>
        <w:tblLook w:val="04A0" w:firstRow="1" w:lastRow="0" w:firstColumn="1" w:lastColumn="0" w:noHBand="0" w:noVBand="1"/>
      </w:tblPr>
      <w:tblGrid>
        <w:gridCol w:w="3480"/>
        <w:gridCol w:w="1120"/>
        <w:gridCol w:w="960"/>
      </w:tblGrid>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Task Name</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ZONE</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1L08A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10/28/20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1L07A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10/28/20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1L06A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10/27/20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1L05A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10/28/20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1L04A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11/09/20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1L27A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11/24/20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2,3</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1L26A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11/24/20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2,3</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1L25A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11/24/20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1L24A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11/24/20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1L23A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12/04/20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1L22A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12/07/20</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1L13A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01/06/21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1L12A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01/07/21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Girder Remove and Transport 1L11A</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01/20/21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Transport 1L07</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10/29/21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1,2</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Transport 1L05</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11/02/21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w:t>
            </w:r>
          </w:p>
        </w:tc>
      </w:tr>
      <w:tr w:rsidR="00651267" w:rsidRPr="00651267" w:rsidTr="00651267">
        <w:trPr>
          <w:trHeight w:val="300"/>
        </w:trPr>
        <w:tc>
          <w:tcPr>
            <w:tcW w:w="348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Transport 1L26</w:t>
            </w:r>
          </w:p>
        </w:tc>
        <w:tc>
          <w:tcPr>
            <w:tcW w:w="1120" w:type="dxa"/>
            <w:shd w:val="clear" w:color="auto" w:fill="FFFFFF"/>
            <w:noWrap/>
            <w:tcMar>
              <w:top w:w="0" w:type="dxa"/>
              <w:left w:w="108" w:type="dxa"/>
              <w:bottom w:w="0" w:type="dxa"/>
              <w:right w:w="108" w:type="dxa"/>
            </w:tcMar>
            <w:vAlign w:val="bottom"/>
            <w:hideMark/>
          </w:tcPr>
          <w:p w:rsidR="00651267" w:rsidRPr="00651267" w:rsidRDefault="00651267" w:rsidP="00651267">
            <w:r w:rsidRPr="00651267">
              <w:t>11/25/21</w:t>
            </w:r>
          </w:p>
        </w:tc>
        <w:tc>
          <w:tcPr>
            <w:tcW w:w="960" w:type="dxa"/>
            <w:shd w:val="clear" w:color="auto" w:fill="FFFFFF"/>
            <w:noWrap/>
            <w:tcMar>
              <w:top w:w="0" w:type="dxa"/>
              <w:left w:w="108" w:type="dxa"/>
              <w:bottom w:w="0" w:type="dxa"/>
              <w:right w:w="108" w:type="dxa"/>
            </w:tcMar>
            <w:vAlign w:val="center"/>
            <w:hideMark/>
          </w:tcPr>
          <w:p w:rsidR="00651267" w:rsidRPr="00651267" w:rsidRDefault="00651267" w:rsidP="00651267">
            <w:r w:rsidRPr="00651267">
              <w:rPr>
                <w:b/>
                <w:bCs/>
              </w:rPr>
              <w:t>1,2,3</w:t>
            </w:r>
          </w:p>
        </w:tc>
      </w:tr>
    </w:tbl>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Some general comments.</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1.</w:t>
      </w:r>
      <w:r>
        <w:rPr>
          <w:color w:val="201F1E"/>
          <w:sz w:val="14"/>
          <w:szCs w:val="14"/>
          <w:bdr w:val="none" w:sz="0" w:space="0" w:color="auto" w:frame="1"/>
        </w:rPr>
        <w:t>       </w:t>
      </w:r>
      <w:r>
        <w:rPr>
          <w:rFonts w:ascii="inherit" w:hAnsi="inherit"/>
          <w:color w:val="201F1E"/>
          <w:sz w:val="22"/>
          <w:szCs w:val="22"/>
          <w:bdr w:val="none" w:sz="0" w:space="0" w:color="auto" w:frame="1"/>
        </w:rPr>
        <w:t>The following list from Mike Drury and Anthony DiPette (and from your email) does not tell the complete story. I have filled in the zones for each step, as you asked.</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2.</w:t>
      </w:r>
      <w:r>
        <w:rPr>
          <w:color w:val="201F1E"/>
          <w:sz w:val="14"/>
          <w:szCs w:val="14"/>
          <w:bdr w:val="none" w:sz="0" w:space="0" w:color="auto" w:frame="1"/>
        </w:rPr>
        <w:t>       </w:t>
      </w:r>
      <w:r>
        <w:rPr>
          <w:rFonts w:ascii="inherit" w:hAnsi="inherit"/>
          <w:color w:val="201F1E"/>
          <w:sz w:val="22"/>
          <w:szCs w:val="22"/>
          <w:bdr w:val="none" w:sz="0" w:space="0" w:color="auto" w:frame="1"/>
        </w:rPr>
        <w:t>It might be better to work from the first tab, Top Level NL Work. This tab shows removal and reinstallations.</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3.</w:t>
      </w:r>
      <w:r>
        <w:rPr>
          <w:color w:val="201F1E"/>
          <w:sz w:val="14"/>
          <w:szCs w:val="14"/>
          <w:bdr w:val="none" w:sz="0" w:space="0" w:color="auto" w:frame="1"/>
        </w:rPr>
        <w:t>       </w:t>
      </w:r>
      <w:r>
        <w:rPr>
          <w:rFonts w:ascii="inherit" w:hAnsi="inherit"/>
          <w:color w:val="201F1E"/>
          <w:sz w:val="22"/>
          <w:szCs w:val="22"/>
          <w:bdr w:val="none" w:sz="0" w:space="0" w:color="auto" w:frame="1"/>
        </w:rPr>
        <w:t>The dates shows the girder removal and transport but each of these activities is preceded by 4 to 6 days of preparation and cleanroom work.</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4.</w:t>
      </w:r>
      <w:r>
        <w:rPr>
          <w:color w:val="201F1E"/>
          <w:sz w:val="14"/>
          <w:szCs w:val="14"/>
          <w:bdr w:val="none" w:sz="0" w:space="0" w:color="auto" w:frame="1"/>
        </w:rPr>
        <w:t>       </w:t>
      </w:r>
      <w:r>
        <w:rPr>
          <w:rFonts w:ascii="inherit" w:hAnsi="inherit"/>
          <w:color w:val="201F1E"/>
          <w:sz w:val="22"/>
          <w:szCs w:val="22"/>
          <w:bdr w:val="none" w:sz="0" w:space="0" w:color="auto" w:frame="1"/>
        </w:rPr>
        <w:t xml:space="preserve">The Transport of the </w:t>
      </w:r>
      <w:proofErr w:type="spellStart"/>
      <w:r>
        <w:rPr>
          <w:rFonts w:ascii="inherit" w:hAnsi="inherit"/>
          <w:color w:val="201F1E"/>
          <w:sz w:val="22"/>
          <w:szCs w:val="22"/>
          <w:bdr w:val="none" w:sz="0" w:space="0" w:color="auto" w:frame="1"/>
        </w:rPr>
        <w:t>Cryomodules</w:t>
      </w:r>
      <w:proofErr w:type="spellEnd"/>
      <w:r>
        <w:rPr>
          <w:rFonts w:ascii="inherit" w:hAnsi="inherit"/>
          <w:color w:val="201F1E"/>
          <w:sz w:val="22"/>
          <w:szCs w:val="22"/>
          <w:bdr w:val="none" w:sz="0" w:space="0" w:color="auto" w:frame="1"/>
        </w:rPr>
        <w:t xml:space="preserve"> (1L07, 05, 26) are preceded by 4-6 days and followed days of additional work.</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5.</w:t>
      </w:r>
      <w:r>
        <w:rPr>
          <w:color w:val="201F1E"/>
          <w:sz w:val="14"/>
          <w:szCs w:val="14"/>
          <w:bdr w:val="none" w:sz="0" w:space="0" w:color="auto" w:frame="1"/>
        </w:rPr>
        <w:t>       </w:t>
      </w:r>
      <w:r>
        <w:rPr>
          <w:rFonts w:ascii="inherit" w:hAnsi="inherit"/>
          <w:color w:val="201F1E"/>
          <w:sz w:val="22"/>
          <w:szCs w:val="22"/>
          <w:bdr w:val="none" w:sz="0" w:space="0" w:color="auto" w:frame="1"/>
        </w:rPr>
        <w:t xml:space="preserve">Because of the nature of the work, the locations for each activity are ganged with multiple positions in the </w:t>
      </w:r>
      <w:proofErr w:type="spellStart"/>
      <w:r>
        <w:rPr>
          <w:rFonts w:ascii="inherit" w:hAnsi="inherit"/>
          <w:color w:val="201F1E"/>
          <w:sz w:val="22"/>
          <w:szCs w:val="22"/>
          <w:bdr w:val="none" w:sz="0" w:space="0" w:color="auto" w:frame="1"/>
        </w:rPr>
        <w:t>NLinac</w:t>
      </w:r>
      <w:proofErr w:type="spellEnd"/>
      <w:r>
        <w:rPr>
          <w:rFonts w:ascii="inherit" w:hAnsi="inherit"/>
          <w:color w:val="201F1E"/>
          <w:sz w:val="22"/>
          <w:szCs w:val="22"/>
          <w:bdr w:val="none" w:sz="0" w:space="0" w:color="auto" w:frame="1"/>
        </w:rPr>
        <w:t>.</w:t>
      </w:r>
    </w:p>
    <w:p w:rsidR="00651267" w:rsidRDefault="00651267" w:rsidP="00651267">
      <w:pPr>
        <w:pStyle w:val="xmsolistparagraph"/>
        <w:shd w:val="clear" w:color="auto" w:fill="FFFFFF"/>
        <w:spacing w:before="0" w:beforeAutospacing="0" w:after="0" w:afterAutospacing="0"/>
        <w:ind w:left="720" w:hanging="360"/>
        <w:rPr>
          <w:color w:val="201F1E"/>
        </w:rPr>
      </w:pPr>
      <w:r>
        <w:rPr>
          <w:rFonts w:ascii="inherit" w:hAnsi="inherit"/>
          <w:color w:val="201F1E"/>
          <w:sz w:val="22"/>
          <w:szCs w:val="22"/>
          <w:bdr w:val="none" w:sz="0" w:space="0" w:color="auto" w:frame="1"/>
        </w:rPr>
        <w:t>6.</w:t>
      </w:r>
      <w:r>
        <w:rPr>
          <w:color w:val="201F1E"/>
          <w:sz w:val="14"/>
          <w:szCs w:val="14"/>
          <w:bdr w:val="none" w:sz="0" w:space="0" w:color="auto" w:frame="1"/>
        </w:rPr>
        <w:t>       </w:t>
      </w:r>
      <w:r>
        <w:rPr>
          <w:rFonts w:ascii="inherit" w:hAnsi="inherit"/>
          <w:color w:val="201F1E"/>
          <w:sz w:val="22"/>
          <w:szCs w:val="22"/>
          <w:bdr w:val="none" w:sz="0" w:space="0" w:color="auto" w:frame="1"/>
        </w:rPr>
        <w:t>In essence, there will be four cleanrooms going darn near all the time from this Friday, 10-16-20 until the work is completed ~4/22/21.</w:t>
      </w:r>
    </w:p>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p>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xml:space="preserve">I suspect we can work in all of Fire Zone 3 (East Arc and down toward the </w:t>
      </w:r>
      <w:proofErr w:type="spellStart"/>
      <w:r>
        <w:rPr>
          <w:rFonts w:ascii="inherit" w:hAnsi="inherit"/>
          <w:color w:val="201F1E"/>
          <w:sz w:val="22"/>
          <w:szCs w:val="22"/>
          <w:bdr w:val="none" w:sz="0" w:space="0" w:color="auto" w:frame="1"/>
        </w:rPr>
        <w:t>NLinac</w:t>
      </w:r>
      <w:proofErr w:type="spellEnd"/>
      <w:r>
        <w:rPr>
          <w:rFonts w:ascii="inherit" w:hAnsi="inherit"/>
          <w:color w:val="201F1E"/>
          <w:sz w:val="22"/>
          <w:szCs w:val="22"/>
          <w:bdr w:val="none" w:sz="0" w:space="0" w:color="auto" w:frame="1"/>
        </w:rPr>
        <w:t>)</w:t>
      </w:r>
    </w:p>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Fire Zone 1 (</w:t>
      </w:r>
      <w:proofErr w:type="spellStart"/>
      <w:r>
        <w:rPr>
          <w:rFonts w:ascii="inherit" w:hAnsi="inherit"/>
          <w:color w:val="201F1E"/>
          <w:sz w:val="22"/>
          <w:szCs w:val="22"/>
          <w:bdr w:val="none" w:sz="0" w:space="0" w:color="auto" w:frame="1"/>
        </w:rPr>
        <w:t>WArc</w:t>
      </w:r>
      <w:proofErr w:type="spellEnd"/>
      <w:r>
        <w:rPr>
          <w:rFonts w:ascii="inherit" w:hAnsi="inherit"/>
          <w:color w:val="201F1E"/>
          <w:sz w:val="22"/>
          <w:szCs w:val="22"/>
          <w:bdr w:val="none" w:sz="0" w:space="0" w:color="auto" w:frame="1"/>
        </w:rPr>
        <w:t xml:space="preserve"> to NL07), (11/24/20 to 1/4/21) might be possible.</w:t>
      </w:r>
    </w:p>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Fire Zone 7 (Injector), (11/24/20 to 1/4/21) has not been analyzed by me.</w:t>
      </w:r>
    </w:p>
    <w:p w:rsidR="00651267" w:rsidRDefault="00651267" w:rsidP="00651267">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xml:space="preserve">Fire Zone 2 (NL07 to the end of the </w:t>
      </w:r>
      <w:proofErr w:type="spellStart"/>
      <w:r>
        <w:rPr>
          <w:rFonts w:ascii="inherit" w:hAnsi="inherit"/>
          <w:color w:val="201F1E"/>
          <w:sz w:val="22"/>
          <w:szCs w:val="22"/>
          <w:bdr w:val="none" w:sz="0" w:space="0" w:color="auto" w:frame="1"/>
        </w:rPr>
        <w:t>cryomodules</w:t>
      </w:r>
      <w:proofErr w:type="spellEnd"/>
      <w:r>
        <w:rPr>
          <w:rFonts w:ascii="inherit" w:hAnsi="inherit"/>
          <w:color w:val="201F1E"/>
          <w:sz w:val="22"/>
          <w:szCs w:val="22"/>
          <w:bdr w:val="none" w:sz="0" w:space="0" w:color="auto" w:frame="1"/>
        </w:rPr>
        <w:t xml:space="preserve"> in the </w:t>
      </w:r>
      <w:proofErr w:type="spellStart"/>
      <w:r>
        <w:rPr>
          <w:rFonts w:ascii="inherit" w:hAnsi="inherit"/>
          <w:color w:val="201F1E"/>
          <w:sz w:val="22"/>
          <w:szCs w:val="22"/>
          <w:bdr w:val="none" w:sz="0" w:space="0" w:color="auto" w:frame="1"/>
        </w:rPr>
        <w:t>NLinac</w:t>
      </w:r>
      <w:proofErr w:type="spellEnd"/>
      <w:r>
        <w:rPr>
          <w:rFonts w:ascii="inherit" w:hAnsi="inherit"/>
          <w:color w:val="201F1E"/>
          <w:sz w:val="22"/>
          <w:szCs w:val="22"/>
          <w:bdr w:val="none" w:sz="0" w:space="0" w:color="auto" w:frame="1"/>
        </w:rPr>
        <w:t>) is problematic.</w:t>
      </w:r>
    </w:p>
    <w:p w:rsidR="00651267" w:rsidRDefault="00651267"/>
    <w:p w:rsidR="00651267" w:rsidRDefault="00651267">
      <w:r>
        <w:rPr>
          <w:noProof/>
        </w:rPr>
        <w:drawing>
          <wp:inline distT="0" distB="0" distL="0" distR="0" wp14:anchorId="044FF3D3" wp14:editId="0A49905D">
            <wp:extent cx="5943600" cy="912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2495"/>
                    </a:xfrm>
                    <a:prstGeom prst="rect">
                      <a:avLst/>
                    </a:prstGeom>
                  </pic:spPr>
                </pic:pic>
              </a:graphicData>
            </a:graphic>
          </wp:inline>
        </w:drawing>
      </w:r>
    </w:p>
    <w:p w:rsidR="00651267" w:rsidRDefault="00651267">
      <w:r>
        <w:t>Zones 4&amp;5 are starting today with no issues</w:t>
      </w:r>
    </w:p>
    <w:p w:rsidR="00651267" w:rsidRDefault="00651267">
      <w:r>
        <w:t>6 and BSY – There are no reported issues</w:t>
      </w:r>
    </w:p>
    <w:p w:rsidR="00651267" w:rsidRDefault="00651267">
      <w:pPr>
        <w:rPr>
          <w:rFonts w:ascii="inherit" w:hAnsi="inherit"/>
          <w:color w:val="201F1E"/>
          <w:bdr w:val="none" w:sz="0" w:space="0" w:color="auto" w:frame="1"/>
        </w:rPr>
      </w:pPr>
      <w:r>
        <w:t xml:space="preserve">Zone 1 – Steve believes it may be possible to fit it during the </w:t>
      </w:r>
      <w:r>
        <w:rPr>
          <w:rFonts w:ascii="inherit" w:hAnsi="inherit"/>
          <w:color w:val="201F1E"/>
          <w:bdr w:val="none" w:sz="0" w:space="0" w:color="auto" w:frame="1"/>
        </w:rPr>
        <w:t>11/24/20 to 1/4/21</w:t>
      </w:r>
      <w:r>
        <w:rPr>
          <w:rFonts w:ascii="inherit" w:hAnsi="inherit"/>
          <w:color w:val="201F1E"/>
          <w:bdr w:val="none" w:sz="0" w:space="0" w:color="auto" w:frame="1"/>
        </w:rPr>
        <w:t xml:space="preserve"> time frame</w:t>
      </w:r>
    </w:p>
    <w:p w:rsidR="00651267" w:rsidRDefault="00651267">
      <w:pPr>
        <w:rPr>
          <w:rFonts w:ascii="inherit" w:hAnsi="inherit"/>
          <w:color w:val="201F1E"/>
          <w:bdr w:val="none" w:sz="0" w:space="0" w:color="auto" w:frame="1"/>
        </w:rPr>
      </w:pPr>
      <w:r>
        <w:rPr>
          <w:rFonts w:ascii="inherit" w:hAnsi="inherit"/>
          <w:color w:val="201F1E"/>
          <w:bdr w:val="none" w:sz="0" w:space="0" w:color="auto" w:frame="1"/>
        </w:rPr>
        <w:t xml:space="preserve">Zone 7 – Tom Renzo will walk this with Joe </w:t>
      </w:r>
      <w:proofErr w:type="spellStart"/>
      <w:r>
        <w:rPr>
          <w:rFonts w:ascii="inherit" w:hAnsi="inherit"/>
          <w:color w:val="201F1E"/>
          <w:bdr w:val="none" w:sz="0" w:space="0" w:color="auto" w:frame="1"/>
        </w:rPr>
        <w:t>Grames</w:t>
      </w:r>
      <w:proofErr w:type="spellEnd"/>
      <w:r>
        <w:rPr>
          <w:rFonts w:ascii="inherit" w:hAnsi="inherit"/>
          <w:color w:val="201F1E"/>
          <w:bdr w:val="none" w:sz="0" w:space="0" w:color="auto" w:frame="1"/>
        </w:rPr>
        <w:t xml:space="preserve"> to ensure both can complete their work.  I will report after the walk around has been complete and Steve has had time to review the plan.</w:t>
      </w:r>
    </w:p>
    <w:p w:rsidR="00651267" w:rsidRDefault="00651267">
      <w:pPr>
        <w:rPr>
          <w:rFonts w:ascii="inherit" w:hAnsi="inherit"/>
          <w:color w:val="201F1E"/>
          <w:bdr w:val="none" w:sz="0" w:space="0" w:color="auto" w:frame="1"/>
        </w:rPr>
      </w:pPr>
      <w:r>
        <w:rPr>
          <w:rFonts w:ascii="inherit" w:hAnsi="inherit"/>
          <w:color w:val="201F1E"/>
          <w:bdr w:val="none" w:sz="0" w:space="0" w:color="auto" w:frame="1"/>
        </w:rPr>
        <w:t xml:space="preserve">Zone 3 - </w:t>
      </w:r>
      <w:r w:rsidRPr="00651267">
        <w:rPr>
          <w:rFonts w:ascii="inherit" w:hAnsi="inherit"/>
          <w:color w:val="201F1E"/>
          <w:bdr w:val="none" w:sz="0" w:space="0" w:color="auto" w:frame="1"/>
        </w:rPr>
        <w:t>can work in all of Fire Zone 3</w:t>
      </w:r>
      <w:r>
        <w:rPr>
          <w:rFonts w:ascii="inherit" w:hAnsi="inherit"/>
          <w:color w:val="201F1E"/>
          <w:bdr w:val="none" w:sz="0" w:space="0" w:color="auto" w:frame="1"/>
        </w:rPr>
        <w:t xml:space="preserve"> during the time frame shown</w:t>
      </w:r>
    </w:p>
    <w:p w:rsidR="00651267" w:rsidRDefault="00651267">
      <w:pPr>
        <w:rPr>
          <w:rFonts w:ascii="inherit" w:hAnsi="inherit"/>
          <w:color w:val="201F1E"/>
          <w:bdr w:val="none" w:sz="0" w:space="0" w:color="auto" w:frame="1"/>
        </w:rPr>
      </w:pPr>
      <w:r>
        <w:rPr>
          <w:rFonts w:ascii="inherit" w:hAnsi="inherit"/>
          <w:color w:val="201F1E"/>
          <w:bdr w:val="none" w:sz="0" w:space="0" w:color="auto" w:frame="1"/>
        </w:rPr>
        <w:t xml:space="preserve">Zone 2 – We need to further evaluate this as we get to know how well the subcontractor is performing.  We are going to have the subcontractor </w:t>
      </w:r>
      <w:r w:rsidR="00AF0953">
        <w:rPr>
          <w:rFonts w:ascii="inherit" w:hAnsi="inherit"/>
          <w:color w:val="201F1E"/>
          <w:bdr w:val="none" w:sz="0" w:space="0" w:color="auto" w:frame="1"/>
        </w:rPr>
        <w:t>develop his shop drawings and start to fabricate piping as soon has he can.  When the piping is fabricated, have it brought to the lab so if we have an opportunity to fit this into the schedule, we will be ready.  May be if INST is working M-Few have the Sub come in Friday night and work the weekend to stay ahead of the valve work.</w:t>
      </w:r>
      <w:bookmarkStart w:id="0" w:name="_GoBack"/>
      <w:bookmarkEnd w:id="0"/>
    </w:p>
    <w:p w:rsidR="00651267" w:rsidRDefault="00651267"/>
    <w:sectPr w:rsidR="0065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67"/>
    <w:rsid w:val="00651267"/>
    <w:rsid w:val="00AF0953"/>
    <w:rsid w:val="00C6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82F9"/>
  <w15:chartTrackingRefBased/>
  <w15:docId w15:val="{65CFB05A-8F4F-4941-B30D-F9DBFA36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1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51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67428">
      <w:bodyDiv w:val="1"/>
      <w:marLeft w:val="0"/>
      <w:marRight w:val="0"/>
      <w:marTop w:val="0"/>
      <w:marBottom w:val="0"/>
      <w:divBdr>
        <w:top w:val="none" w:sz="0" w:space="0" w:color="auto"/>
        <w:left w:val="none" w:sz="0" w:space="0" w:color="auto"/>
        <w:bottom w:val="none" w:sz="0" w:space="0" w:color="auto"/>
        <w:right w:val="none" w:sz="0" w:space="0" w:color="auto"/>
      </w:divBdr>
    </w:div>
    <w:div w:id="17959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Sperlazza</dc:creator>
  <cp:keywords/>
  <dc:description/>
  <cp:lastModifiedBy>Bob Sperlazza</cp:lastModifiedBy>
  <cp:revision>1</cp:revision>
  <dcterms:created xsi:type="dcterms:W3CDTF">2020-10-15T15:45:00Z</dcterms:created>
  <dcterms:modified xsi:type="dcterms:W3CDTF">2020-10-15T15:59:00Z</dcterms:modified>
</cp:coreProperties>
</file>