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476B" w14:textId="77777777" w:rsidR="00A6141F" w:rsidRDefault="00A6141F" w:rsidP="00A6141F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Appendix A: Detailed JLab report</w:t>
      </w:r>
    </w:p>
    <w:p w14:paraId="407B81CD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5D2F7C93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Period of Performance:</w:t>
      </w:r>
    </w:p>
    <w:p w14:paraId="01CAEAD9" w14:textId="4C9C3B91" w:rsidR="00A6141F" w:rsidRDefault="005313E4" w:rsidP="00A61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672E17">
        <w:rPr>
          <w:rFonts w:ascii="Times New Roman" w:hAnsi="Times New Roman" w:cs="Times New Roman"/>
        </w:rPr>
        <w:t>4</w:t>
      </w:r>
      <w:r w:rsidR="00A6141F">
        <w:rPr>
          <w:rFonts w:ascii="Times New Roman" w:hAnsi="Times New Roman" w:cs="Times New Roman"/>
        </w:rPr>
        <w:t>/1/202</w:t>
      </w:r>
      <w:r>
        <w:rPr>
          <w:rFonts w:ascii="Times New Roman" w:hAnsi="Times New Roman" w:cs="Times New Roman"/>
        </w:rPr>
        <w:t>2</w:t>
      </w:r>
      <w:r w:rsidR="00A6141F">
        <w:rPr>
          <w:rFonts w:ascii="Times New Roman" w:hAnsi="Times New Roman" w:cs="Times New Roman"/>
        </w:rPr>
        <w:t xml:space="preserve"> –</w:t>
      </w:r>
      <w:r w:rsidR="00672E17">
        <w:rPr>
          <w:rFonts w:ascii="Times New Roman" w:hAnsi="Times New Roman" w:cs="Times New Roman"/>
        </w:rPr>
        <w:t>06</w:t>
      </w:r>
      <w:r w:rsidR="00A6141F">
        <w:rPr>
          <w:rFonts w:ascii="Times New Roman" w:hAnsi="Times New Roman" w:cs="Times New Roman"/>
        </w:rPr>
        <w:t>/3</w:t>
      </w:r>
      <w:r w:rsidR="00672E17">
        <w:rPr>
          <w:rFonts w:ascii="Times New Roman" w:hAnsi="Times New Roman" w:cs="Times New Roman"/>
        </w:rPr>
        <w:t>0</w:t>
      </w:r>
      <w:r w:rsidR="00A6141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60A039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7DC45C0D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Co-Principal Investigator:</w:t>
      </w:r>
    </w:p>
    <w:p w14:paraId="710C5E53" w14:textId="77777777" w:rsidR="006055E7" w:rsidRPr="006055E7" w:rsidRDefault="006055E7" w:rsidP="00654CB1">
      <w:p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Riad Suleiman, with Joe </w:t>
      </w:r>
      <w:proofErr w:type="spellStart"/>
      <w:r w:rsidRPr="006055E7">
        <w:rPr>
          <w:rFonts w:ascii="Times New Roman" w:hAnsi="Times New Roman" w:cs="Times New Roman"/>
        </w:rPr>
        <w:t>Grames</w:t>
      </w:r>
      <w:proofErr w:type="spellEnd"/>
      <w:r w:rsidRPr="006055E7">
        <w:rPr>
          <w:rFonts w:ascii="Times New Roman" w:hAnsi="Times New Roman" w:cs="Times New Roman"/>
        </w:rPr>
        <w:t xml:space="preserve"> and Matt </w:t>
      </w:r>
      <w:proofErr w:type="spellStart"/>
      <w:r w:rsidRPr="006055E7">
        <w:rPr>
          <w:rFonts w:ascii="Times New Roman" w:hAnsi="Times New Roman" w:cs="Times New Roman"/>
        </w:rPr>
        <w:t>Poelker</w:t>
      </w:r>
      <w:proofErr w:type="spellEnd"/>
      <w:r w:rsidRPr="006055E7">
        <w:rPr>
          <w:rFonts w:ascii="Times New Roman" w:hAnsi="Times New Roman" w:cs="Times New Roman"/>
        </w:rPr>
        <w:t xml:space="preserve"> (Jefferson Lab), and Eric </w:t>
      </w:r>
      <w:proofErr w:type="spellStart"/>
      <w:r w:rsidRPr="006055E7">
        <w:rPr>
          <w:rFonts w:ascii="Times New Roman" w:hAnsi="Times New Roman" w:cs="Times New Roman"/>
        </w:rPr>
        <w:t>Voutier</w:t>
      </w:r>
      <w:proofErr w:type="spellEnd"/>
      <w:r w:rsidRPr="006055E7">
        <w:rPr>
          <w:rFonts w:ascii="Times New Roman" w:hAnsi="Times New Roman" w:cs="Times New Roman"/>
        </w:rPr>
        <w:t xml:space="preserve"> (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>, Orsay, France)</w:t>
      </w:r>
    </w:p>
    <w:p w14:paraId="028B7CE2" w14:textId="77777777" w:rsidR="00A6141F" w:rsidRDefault="00A6141F" w:rsidP="00A6141F">
      <w:pPr>
        <w:rPr>
          <w:rFonts w:ascii="Times New Roman" w:hAnsi="Times New Roman" w:cs="Times New Roman"/>
          <w:lang w:val="es-ES"/>
        </w:rPr>
      </w:pPr>
    </w:p>
    <w:p w14:paraId="3C429EC7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Work-scope Highlights:</w:t>
      </w:r>
    </w:p>
    <w:p w14:paraId="62D2065E" w14:textId="77777777" w:rsidR="00A6141F" w:rsidRDefault="006055E7" w:rsidP="00A6141F">
      <w:pPr>
        <w:jc w:val="both"/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Jefferson Lab’s contribution to this project is to provide a Compton Transmission Polarimeter, which will be used to measure beam polarization when SRF photogun employs a GaAs photocathode. 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 xml:space="preserve"> is contributing to Jefferson Lab’s effort.</w:t>
      </w:r>
    </w:p>
    <w:p w14:paraId="2E4B3F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17C96B09" w14:textId="4CC8E84C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</w:t>
      </w:r>
      <w:r w:rsidR="003E3D12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FY2</w:t>
      </w:r>
      <w:r w:rsidR="00112EDB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Brief summary of activity issues, concerns, successes:</w:t>
      </w:r>
    </w:p>
    <w:p w14:paraId="251BF2DE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3C40E3C6" w14:textId="77777777"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Activity successes:</w:t>
      </w:r>
    </w:p>
    <w:p w14:paraId="206EF474" w14:textId="1552E911" w:rsidR="000F6449" w:rsidRPr="00B90EC2" w:rsidRDefault="000F6449" w:rsidP="00B90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90EC2">
        <w:rPr>
          <w:rFonts w:ascii="Times New Roman" w:hAnsi="Times New Roman" w:cs="Times New Roman"/>
        </w:rPr>
        <w:t>We</w:t>
      </w:r>
      <w:r w:rsidR="006055E7" w:rsidRPr="00B90EC2">
        <w:rPr>
          <w:rFonts w:ascii="Times New Roman" w:hAnsi="Times New Roman" w:cs="Times New Roman"/>
        </w:rPr>
        <w:t xml:space="preserve"> plan to install </w:t>
      </w:r>
      <w:r w:rsidRPr="00B90EC2">
        <w:rPr>
          <w:rFonts w:ascii="Times New Roman" w:hAnsi="Times New Roman" w:cs="Times New Roman"/>
        </w:rPr>
        <w:t xml:space="preserve">the polarimeter </w:t>
      </w:r>
      <w:r w:rsidR="006055E7" w:rsidRPr="00B90EC2">
        <w:rPr>
          <w:rFonts w:ascii="Times New Roman" w:hAnsi="Times New Roman" w:cs="Times New Roman"/>
        </w:rPr>
        <w:t xml:space="preserve">at </w:t>
      </w:r>
      <w:r w:rsidR="002628EB" w:rsidRPr="00B90EC2">
        <w:rPr>
          <w:rFonts w:ascii="Times New Roman" w:hAnsi="Times New Roman" w:cs="Times New Roman"/>
        </w:rPr>
        <w:t xml:space="preserve">the </w:t>
      </w:r>
      <w:r w:rsidRPr="00B90EC2">
        <w:rPr>
          <w:rFonts w:ascii="Times New Roman" w:hAnsi="Times New Roman" w:cs="Times New Roman"/>
        </w:rPr>
        <w:t>Upgraded Injector Test Facility (</w:t>
      </w:r>
      <w:r w:rsidR="006055E7" w:rsidRPr="00B90EC2">
        <w:rPr>
          <w:rFonts w:ascii="Times New Roman" w:hAnsi="Times New Roman" w:cs="Times New Roman"/>
        </w:rPr>
        <w:t>UITF</w:t>
      </w:r>
      <w:r w:rsidRPr="00B90EC2">
        <w:rPr>
          <w:rFonts w:ascii="Times New Roman" w:hAnsi="Times New Roman" w:cs="Times New Roman"/>
        </w:rPr>
        <w:t>)</w:t>
      </w:r>
      <w:r w:rsidR="006055E7" w:rsidRPr="00B90EC2">
        <w:rPr>
          <w:rFonts w:ascii="Times New Roman" w:hAnsi="Times New Roman" w:cs="Times New Roman"/>
        </w:rPr>
        <w:t xml:space="preserve"> by </w:t>
      </w:r>
      <w:r w:rsidR="00C20FBB">
        <w:rPr>
          <w:rFonts w:ascii="Times New Roman" w:hAnsi="Times New Roman" w:cs="Times New Roman"/>
        </w:rPr>
        <w:t>October</w:t>
      </w:r>
      <w:r w:rsidR="00B90EC2">
        <w:rPr>
          <w:rFonts w:ascii="Times New Roman" w:hAnsi="Times New Roman" w:cs="Times New Roman"/>
        </w:rPr>
        <w:t>. Figure 1 show</w:t>
      </w:r>
      <w:r w:rsidR="005B1B0A">
        <w:rPr>
          <w:rFonts w:ascii="Times New Roman" w:hAnsi="Times New Roman" w:cs="Times New Roman"/>
        </w:rPr>
        <w:t>s</w:t>
      </w:r>
      <w:r w:rsidR="00B90EC2">
        <w:rPr>
          <w:rFonts w:ascii="Times New Roman" w:hAnsi="Times New Roman" w:cs="Times New Roman"/>
        </w:rPr>
        <w:t xml:space="preserve"> the layout at the UITF.</w:t>
      </w:r>
    </w:p>
    <w:p w14:paraId="5BA4D198" w14:textId="7830B274" w:rsidR="006055E7" w:rsidRPr="00BE685D" w:rsidRDefault="00B90EC2" w:rsidP="00B90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designer is working with the BNL engineer (</w:t>
      </w:r>
      <w:r w:rsidR="008029A0" w:rsidRPr="008029A0">
        <w:rPr>
          <w:rFonts w:ascii="Times New Roman" w:hAnsi="Times New Roman" w:cs="Times New Roman"/>
        </w:rPr>
        <w:t>Jean Clifford Brutus</w:t>
      </w:r>
      <w:r>
        <w:rPr>
          <w:rFonts w:ascii="Times New Roman" w:hAnsi="Times New Roman" w:cs="Times New Roman"/>
        </w:rPr>
        <w:t xml:space="preserve">) for the layout </w:t>
      </w:r>
      <w:r w:rsidRPr="00BE685D">
        <w:rPr>
          <w:rFonts w:ascii="Times New Roman" w:hAnsi="Times New Roman" w:cs="Times New Roman"/>
        </w:rPr>
        <w:t>there.</w:t>
      </w:r>
    </w:p>
    <w:p w14:paraId="7F3B1302" w14:textId="008910ED" w:rsidR="00BE685D" w:rsidRPr="00BE685D" w:rsidRDefault="00BE685D" w:rsidP="00BE68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85D">
        <w:rPr>
          <w:rFonts w:ascii="Times New Roman" w:hAnsi="Times New Roman" w:cs="Times New Roman"/>
        </w:rPr>
        <w:t xml:space="preserve">One Radiator is ready, need to fabricate </w:t>
      </w:r>
      <w:r w:rsidR="008E7DD8">
        <w:rPr>
          <w:rFonts w:ascii="Times New Roman" w:hAnsi="Times New Roman" w:cs="Times New Roman"/>
        </w:rPr>
        <w:t xml:space="preserve">a </w:t>
      </w:r>
      <w:r w:rsidRPr="00BE685D">
        <w:rPr>
          <w:rFonts w:ascii="Times New Roman" w:hAnsi="Times New Roman" w:cs="Times New Roman"/>
        </w:rPr>
        <w:t>second radiator and two Collimators</w:t>
      </w:r>
      <w:r>
        <w:rPr>
          <w:rFonts w:ascii="Times New Roman" w:hAnsi="Times New Roman" w:cs="Times New Roman"/>
        </w:rPr>
        <w:t>.</w:t>
      </w:r>
    </w:p>
    <w:p w14:paraId="5D098AAF" w14:textId="255B0FD1" w:rsidR="006055E7" w:rsidRDefault="008029A0" w:rsidP="00250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685D">
        <w:rPr>
          <w:rFonts w:ascii="Times New Roman" w:hAnsi="Times New Roman" w:cs="Times New Roman"/>
        </w:rPr>
        <w:t>The Phy</w:t>
      </w:r>
      <w:r>
        <w:rPr>
          <w:rFonts w:ascii="Times New Roman" w:hAnsi="Times New Roman" w:cs="Times New Roman"/>
        </w:rPr>
        <w:t xml:space="preserve">sics Magnet Group </w:t>
      </w:r>
      <w:r w:rsidR="003648A6">
        <w:rPr>
          <w:rFonts w:ascii="Times New Roman" w:hAnsi="Times New Roman" w:cs="Times New Roman"/>
        </w:rPr>
        <w:t>completed the design of</w:t>
      </w:r>
      <w:r>
        <w:rPr>
          <w:rFonts w:ascii="Times New Roman" w:hAnsi="Times New Roman" w:cs="Times New Roman"/>
        </w:rPr>
        <w:t xml:space="preserve"> the iron core solenoid magnet. </w:t>
      </w:r>
      <w:r w:rsidR="003648A6">
        <w:rPr>
          <w:rFonts w:ascii="Times New Roman" w:hAnsi="Times New Roman" w:cs="Times New Roman"/>
        </w:rPr>
        <w:t xml:space="preserve">Iron pieces have been fabricated. </w:t>
      </w:r>
      <w:r w:rsidR="00BE685D">
        <w:rPr>
          <w:rFonts w:ascii="Times New Roman" w:hAnsi="Times New Roman" w:cs="Times New Roman"/>
        </w:rPr>
        <w:t>Coil</w:t>
      </w:r>
      <w:r w:rsidR="003648A6">
        <w:rPr>
          <w:rFonts w:ascii="Times New Roman" w:hAnsi="Times New Roman" w:cs="Times New Roman"/>
        </w:rPr>
        <w:t xml:space="preserve"> winding </w:t>
      </w:r>
      <w:r w:rsidR="00BE685D">
        <w:rPr>
          <w:rFonts w:ascii="Times New Roman" w:hAnsi="Times New Roman" w:cs="Times New Roman"/>
        </w:rPr>
        <w:t>is underway</w:t>
      </w:r>
      <w:r w:rsidR="00364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Expected delivery by </w:t>
      </w:r>
      <w:r w:rsidR="003648A6">
        <w:rPr>
          <w:rFonts w:ascii="Times New Roman" w:hAnsi="Times New Roman" w:cs="Times New Roman"/>
        </w:rPr>
        <w:t>end of July</w:t>
      </w:r>
      <w:r>
        <w:rPr>
          <w:rFonts w:ascii="Times New Roman" w:hAnsi="Times New Roman" w:cs="Times New Roman"/>
        </w:rPr>
        <w:t>.</w:t>
      </w:r>
      <w:r w:rsidR="00415E67">
        <w:rPr>
          <w:rFonts w:ascii="Times New Roman" w:hAnsi="Times New Roman" w:cs="Times New Roman"/>
        </w:rPr>
        <w:t xml:space="preserve"> Magnet power supplies were ordered.</w:t>
      </w:r>
      <w:r w:rsidR="005B1B0A">
        <w:rPr>
          <w:rFonts w:ascii="Times New Roman" w:hAnsi="Times New Roman" w:cs="Times New Roman"/>
        </w:rPr>
        <w:t xml:space="preserve"> Figure </w:t>
      </w:r>
      <w:r w:rsidR="00B51E1C">
        <w:rPr>
          <w:rFonts w:ascii="Times New Roman" w:hAnsi="Times New Roman" w:cs="Times New Roman"/>
        </w:rPr>
        <w:t xml:space="preserve">2 </w:t>
      </w:r>
      <w:r w:rsidR="005B1B0A">
        <w:rPr>
          <w:rFonts w:ascii="Times New Roman" w:hAnsi="Times New Roman" w:cs="Times New Roman"/>
        </w:rPr>
        <w:t xml:space="preserve">shows </w:t>
      </w:r>
      <w:r w:rsidR="00B51E1C">
        <w:rPr>
          <w:rFonts w:ascii="Times New Roman" w:hAnsi="Times New Roman" w:cs="Times New Roman"/>
        </w:rPr>
        <w:t>magnet geometry</w:t>
      </w:r>
      <w:r w:rsidR="005B1B0A">
        <w:rPr>
          <w:rFonts w:ascii="Times New Roman" w:hAnsi="Times New Roman" w:cs="Times New Roman"/>
        </w:rPr>
        <w:t>.</w:t>
      </w:r>
    </w:p>
    <w:p w14:paraId="141F5641" w14:textId="794EE1AC" w:rsidR="00BE685D" w:rsidRDefault="00415E67" w:rsidP="00250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BGO crystals arrived at Jefferson Lab from </w:t>
      </w:r>
      <w:proofErr w:type="spellStart"/>
      <w:r>
        <w:rPr>
          <w:rFonts w:ascii="Times New Roman" w:hAnsi="Times New Roman" w:cs="Times New Roman"/>
        </w:rPr>
        <w:t>IJCLab</w:t>
      </w:r>
      <w:proofErr w:type="spellEnd"/>
      <w:r>
        <w:rPr>
          <w:rFonts w:ascii="Times New Roman" w:hAnsi="Times New Roman" w:cs="Times New Roman"/>
        </w:rPr>
        <w:t xml:space="preserve">. The detector box is being fabricated </w:t>
      </w:r>
      <w:r w:rsidR="008E7DD8">
        <w:rPr>
          <w:rFonts w:ascii="Times New Roman" w:hAnsi="Times New Roman" w:cs="Times New Roman"/>
        </w:rPr>
        <w:t xml:space="preserve">at </w:t>
      </w:r>
      <w:proofErr w:type="spellStart"/>
      <w:r w:rsidR="008E7DD8">
        <w:rPr>
          <w:rFonts w:ascii="Times New Roman" w:hAnsi="Times New Roman" w:cs="Times New Roman"/>
        </w:rPr>
        <w:t>IJCLab</w:t>
      </w:r>
      <w:proofErr w:type="spellEnd"/>
      <w:r>
        <w:rPr>
          <w:rFonts w:ascii="Times New Roman" w:hAnsi="Times New Roman" w:cs="Times New Roman"/>
        </w:rPr>
        <w:t xml:space="preserve">, then ship to Jefferson Lab. The photomultiplier tubes were ordered and their bases are </w:t>
      </w:r>
      <w:r w:rsidR="00C20FBB">
        <w:rPr>
          <w:rFonts w:ascii="Times New Roman" w:hAnsi="Times New Roman" w:cs="Times New Roman"/>
        </w:rPr>
        <w:t xml:space="preserve">being fabricated at </w:t>
      </w:r>
      <w:proofErr w:type="spellStart"/>
      <w:r w:rsidR="00C20FBB">
        <w:rPr>
          <w:rFonts w:ascii="Times New Roman" w:hAnsi="Times New Roman" w:cs="Times New Roman"/>
        </w:rPr>
        <w:t>IJCLab</w:t>
      </w:r>
      <w:proofErr w:type="spellEnd"/>
      <w:r w:rsidR="00C20FBB">
        <w:rPr>
          <w:rFonts w:ascii="Times New Roman" w:hAnsi="Times New Roman" w:cs="Times New Roman"/>
        </w:rPr>
        <w:t>.</w:t>
      </w:r>
    </w:p>
    <w:p w14:paraId="7F8462B8" w14:textId="01C57604" w:rsidR="00681A31" w:rsidRDefault="00681A31" w:rsidP="00250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parts of the portable data acquisition system have been ordered or on-site. Now, working on firmware and controls.</w:t>
      </w:r>
    </w:p>
    <w:p w14:paraId="521A4CF1" w14:textId="33C896A1" w:rsidR="00A6141F" w:rsidRDefault="00865FC4" w:rsidP="00865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51356D">
        <w:rPr>
          <w:rFonts w:ascii="Times New Roman" w:hAnsi="Times New Roman" w:cs="Times New Roman"/>
          <w:color w:val="000000" w:themeColor="text1"/>
        </w:rPr>
        <w:t xml:space="preserve">New Wien filter and Mott polarimeter </w:t>
      </w:r>
      <w:r w:rsidR="003648A6">
        <w:rPr>
          <w:rFonts w:ascii="Times New Roman" w:hAnsi="Times New Roman" w:cs="Times New Roman"/>
          <w:color w:val="000000" w:themeColor="text1"/>
        </w:rPr>
        <w:t>are installed</w:t>
      </w:r>
      <w:r w:rsidR="00F13E12">
        <w:rPr>
          <w:rFonts w:ascii="Times New Roman" w:hAnsi="Times New Roman" w:cs="Times New Roman"/>
          <w:color w:val="000000" w:themeColor="text1"/>
        </w:rPr>
        <w:t xml:space="preserve"> and </w:t>
      </w:r>
      <w:r w:rsidR="003648A6">
        <w:rPr>
          <w:rFonts w:ascii="Times New Roman" w:hAnsi="Times New Roman" w:cs="Times New Roman"/>
          <w:color w:val="000000" w:themeColor="text1"/>
        </w:rPr>
        <w:t xml:space="preserve">hot checkout </w:t>
      </w:r>
      <w:r w:rsidR="00F13E12">
        <w:rPr>
          <w:rFonts w:ascii="Times New Roman" w:hAnsi="Times New Roman" w:cs="Times New Roman"/>
          <w:color w:val="000000" w:themeColor="text1"/>
        </w:rPr>
        <w:t xml:space="preserve">is </w:t>
      </w:r>
      <w:r w:rsidR="003648A6">
        <w:rPr>
          <w:rFonts w:ascii="Times New Roman" w:hAnsi="Times New Roman" w:cs="Times New Roman"/>
          <w:color w:val="000000" w:themeColor="text1"/>
        </w:rPr>
        <w:t>completed. Beam commissioning is planned in July</w:t>
      </w:r>
      <w:r w:rsidRPr="0051356D">
        <w:rPr>
          <w:rFonts w:ascii="Times New Roman" w:hAnsi="Times New Roman" w:cs="Times New Roman"/>
          <w:color w:val="000000" w:themeColor="text1"/>
        </w:rPr>
        <w:t>.</w:t>
      </w:r>
      <w:r w:rsidR="003648A6">
        <w:rPr>
          <w:rFonts w:ascii="Times New Roman" w:hAnsi="Times New Roman" w:cs="Times New Roman"/>
          <w:color w:val="000000" w:themeColor="text1"/>
        </w:rPr>
        <w:t xml:space="preserve"> The Mott polarimeter is needed to calibrate the Compton polarimeter.</w:t>
      </w:r>
    </w:p>
    <w:p w14:paraId="2358E4B4" w14:textId="5D07F272" w:rsidR="00DD43FE" w:rsidRPr="0051356D" w:rsidRDefault="00DD43FE" w:rsidP="00865F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Graduate student </w:t>
      </w:r>
      <w:r w:rsidR="007331D2">
        <w:rPr>
          <w:rFonts w:ascii="Times New Roman" w:hAnsi="Times New Roman" w:cs="Times New Roman"/>
          <w:color w:val="000000" w:themeColor="text1"/>
        </w:rPr>
        <w:t xml:space="preserve">Greg Blume </w:t>
      </w:r>
      <w:r>
        <w:rPr>
          <w:rFonts w:ascii="Times New Roman" w:hAnsi="Times New Roman" w:cs="Times New Roman"/>
          <w:color w:val="000000" w:themeColor="text1"/>
        </w:rPr>
        <w:t>is working on GEANT4 simulation of the final design.</w:t>
      </w:r>
    </w:p>
    <w:p w14:paraId="56068C92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544BA0C5" w14:textId="77777777"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Issues and concerns:</w:t>
      </w:r>
    </w:p>
    <w:p w14:paraId="74637656" w14:textId="65C35922" w:rsidR="00A6141F" w:rsidRPr="004D3754" w:rsidRDefault="006F273D" w:rsidP="004D37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Competing </w:t>
      </w:r>
      <w:r w:rsidR="003648A6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 at the UITF </w:t>
      </w:r>
      <w:r w:rsidR="003648A6">
        <w:rPr>
          <w:rFonts w:ascii="Times New Roman" w:hAnsi="Times New Roman" w:cs="Times New Roman"/>
        </w:rPr>
        <w:t xml:space="preserve">and tight schedule; we only have a two-week window </w:t>
      </w:r>
      <w:r w:rsidR="00163ECD">
        <w:rPr>
          <w:rFonts w:ascii="Times New Roman" w:hAnsi="Times New Roman" w:cs="Times New Roman"/>
        </w:rPr>
        <w:t xml:space="preserve">in October-November </w:t>
      </w:r>
      <w:r w:rsidR="003648A6">
        <w:rPr>
          <w:rFonts w:ascii="Times New Roman" w:hAnsi="Times New Roman" w:cs="Times New Roman"/>
        </w:rPr>
        <w:t xml:space="preserve">to commission the polarimeter. </w:t>
      </w:r>
    </w:p>
    <w:p w14:paraId="26BFBA1A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245350D6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Milestones</w:t>
      </w:r>
    </w:p>
    <w:p w14:paraId="2B50EFF8" w14:textId="3DDD9731" w:rsidR="00A6141F" w:rsidRPr="00D0559D" w:rsidRDefault="00681A31" w:rsidP="002C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designs are completed and all parts are ordered or on-site</w:t>
      </w:r>
      <w:r w:rsidR="008029A0">
        <w:rPr>
          <w:rFonts w:ascii="Times New Roman" w:hAnsi="Times New Roman" w:cs="Times New Roman"/>
        </w:rPr>
        <w:t>.</w:t>
      </w:r>
      <w:r w:rsidR="00B51E1C">
        <w:rPr>
          <w:rFonts w:ascii="Times New Roman" w:hAnsi="Times New Roman" w:cs="Times New Roman"/>
        </w:rPr>
        <w:t xml:space="preserve"> To be ready to install in October.</w:t>
      </w:r>
    </w:p>
    <w:p w14:paraId="5B12C8D8" w14:textId="77777777" w:rsidR="00026364" w:rsidRDefault="00026364" w:rsidP="002C6D0B">
      <w:pPr>
        <w:rPr>
          <w:rFonts w:ascii="Times New Roman" w:hAnsi="Times New Roman" w:cs="Times New Roman"/>
        </w:rPr>
      </w:pPr>
    </w:p>
    <w:p w14:paraId="7AAFF8CE" w14:textId="77777777" w:rsidR="00026364" w:rsidRDefault="00026364" w:rsidP="002C6D0B">
      <w:pPr>
        <w:rPr>
          <w:rFonts w:ascii="Times New Roman" w:hAnsi="Times New Roman" w:cs="Times New Roman"/>
        </w:rPr>
      </w:pPr>
    </w:p>
    <w:p w14:paraId="4BE8FE15" w14:textId="77777777" w:rsidR="00305023" w:rsidRDefault="00305023" w:rsidP="002C6D0B">
      <w:pPr>
        <w:rPr>
          <w:rFonts w:ascii="Times New Roman" w:hAnsi="Times New Roman" w:cs="Times New Roman"/>
        </w:rPr>
      </w:pPr>
    </w:p>
    <w:p w14:paraId="44684039" w14:textId="155A9CBC" w:rsidR="00B90EC2" w:rsidRDefault="00BE685D" w:rsidP="00D0559D">
      <w:pPr>
        <w:keepNext/>
        <w:jc w:val="center"/>
      </w:pPr>
      <w:r w:rsidRPr="00BE685D">
        <w:rPr>
          <w:noProof/>
        </w:rPr>
        <w:lastRenderedPageBreak/>
        <w:drawing>
          <wp:inline distT="0" distB="0" distL="0" distR="0" wp14:anchorId="3ED5D400" wp14:editId="3D210F40">
            <wp:extent cx="5943600" cy="2616200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119DBC4-1DBA-4978-941E-EAA304118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119DBC4-1DBA-4978-941E-EAA304118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08" r="2690"/>
                    <a:stretch/>
                  </pic:blipFill>
                  <pic:spPr>
                    <a:xfrm>
                      <a:off x="0" y="0"/>
                      <a:ext cx="59436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B961D" w14:textId="77777777" w:rsidR="00BE685D" w:rsidRDefault="00BE685D" w:rsidP="00D0559D">
      <w:pPr>
        <w:keepNext/>
        <w:jc w:val="center"/>
      </w:pPr>
    </w:p>
    <w:p w14:paraId="6E74A751" w14:textId="7077DC85" w:rsidR="00026364" w:rsidRDefault="00B90EC2" w:rsidP="00D35AEA">
      <w:pPr>
        <w:pStyle w:val="Caption"/>
        <w:rPr>
          <w:rFonts w:ascii="Times New Roman" w:hAnsi="Times New Roman" w:cs="Times New Roman"/>
        </w:rPr>
      </w:pPr>
      <w:r>
        <w:t xml:space="preserve">Figure </w:t>
      </w:r>
      <w:r w:rsidR="003F2FC7">
        <w:fldChar w:fldCharType="begin"/>
      </w:r>
      <w:r w:rsidR="003F2FC7">
        <w:instrText xml:space="preserve"> SEQ Figure \* ARABIC </w:instrText>
      </w:r>
      <w:r w:rsidR="003F2FC7">
        <w:fldChar w:fldCharType="separate"/>
      </w:r>
      <w:r w:rsidR="003F2FC7">
        <w:rPr>
          <w:noProof/>
        </w:rPr>
        <w:t>1</w:t>
      </w:r>
      <w:r w:rsidR="003F2FC7">
        <w:rPr>
          <w:noProof/>
        </w:rPr>
        <w:fldChar w:fldCharType="end"/>
      </w:r>
      <w:r>
        <w:t xml:space="preserve">: Layout </w:t>
      </w:r>
      <w:r w:rsidR="00791EEC" w:rsidRPr="00791EEC">
        <w:t>of the Compton Transmission Polarimeter</w:t>
      </w:r>
      <w:r>
        <w:t xml:space="preserve">. </w:t>
      </w:r>
      <w:r w:rsidR="00791EEC">
        <w:t xml:space="preserve">From right to left, shown </w:t>
      </w:r>
      <w:r>
        <w:t xml:space="preserve">are the radiator, </w:t>
      </w:r>
      <w:r w:rsidR="00791EEC">
        <w:t xml:space="preserve">copper collimator, </w:t>
      </w:r>
      <w:r>
        <w:t xml:space="preserve">magnet and the detector </w:t>
      </w:r>
      <w:r w:rsidR="00791EEC">
        <w:t>box</w:t>
      </w:r>
      <w:r>
        <w:t>.</w:t>
      </w:r>
      <w:r w:rsidR="00791EEC">
        <w:t xml:space="preserve"> Electron beam is coming from the left.</w:t>
      </w:r>
    </w:p>
    <w:p w14:paraId="0C43BBC0" w14:textId="33F252F1" w:rsidR="00B90EC2" w:rsidRDefault="00791EEC" w:rsidP="00D0559D">
      <w:pPr>
        <w:keepNext/>
        <w:jc w:val="center"/>
      </w:pPr>
      <w:r w:rsidRPr="00791EE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242290" wp14:editId="2A6896B3">
                <wp:simplePos x="0" y="0"/>
                <wp:positionH relativeFrom="column">
                  <wp:posOffset>212140</wp:posOffset>
                </wp:positionH>
                <wp:positionV relativeFrom="paragraph">
                  <wp:posOffset>643738</wp:posOffset>
                </wp:positionV>
                <wp:extent cx="4020123" cy="1620551"/>
                <wp:effectExtent l="0" t="0" r="0" b="0"/>
                <wp:wrapNone/>
                <wp:docPr id="11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739C99-B67F-4C72-A65D-B3D0D6F27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123" cy="1620551"/>
                          <a:chOff x="0" y="0"/>
                          <a:chExt cx="4020123" cy="1620551"/>
                        </a:xfrm>
                      </wpg:grpSpPr>
                      <wps:wsp>
                        <wps:cNvPr id="2" name="TextBox 11">
                          <a:extLst>
                            <a:ext uri="{FF2B5EF4-FFF2-40B4-BE49-F238E27FC236}">
                              <a16:creationId xmlns:a16="http://schemas.microsoft.com/office/drawing/2014/main" id="{E2A91D84-DF4C-4011-9627-CE4A5E4B88E1}"/>
                            </a:ext>
                          </a:extLst>
                        </wps:cNvPr>
                        <wps:cNvSpPr txBox="1"/>
                        <wps:spPr>
                          <a:xfrm rot="20764140">
                            <a:off x="1504084" y="0"/>
                            <a:ext cx="213072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84FE3" w14:textId="77777777" w:rsidR="00923A1C" w:rsidRDefault="00923A1C" w:rsidP="00791E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Sleeve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12">
                          <a:extLst>
                            <a:ext uri="{FF2B5EF4-FFF2-40B4-BE49-F238E27FC236}">
                              <a16:creationId xmlns:a16="http://schemas.microsoft.com/office/drawing/2014/main" id="{6AD24984-9A19-489A-AA14-6048EC1D2F04}"/>
                            </a:ext>
                          </a:extLst>
                        </wps:cNvPr>
                        <wps:cNvSpPr txBox="1"/>
                        <wps:spPr>
                          <a:xfrm rot="20764140">
                            <a:off x="1889398" y="1251219"/>
                            <a:ext cx="213072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EDBAF7" w14:textId="77777777" w:rsidR="00923A1C" w:rsidRDefault="00923A1C" w:rsidP="00791E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Core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3">
                          <a:extLst>
                            <a:ext uri="{FF2B5EF4-FFF2-40B4-BE49-F238E27FC236}">
                              <a16:creationId xmlns:a16="http://schemas.microsoft.com/office/drawing/2014/main" id="{4C57CACF-F377-4AEE-88DC-1ED35FFAE430}"/>
                            </a:ext>
                          </a:extLst>
                        </wps:cNvPr>
                        <wps:cNvSpPr txBox="1"/>
                        <wps:spPr>
                          <a:xfrm rot="20764140">
                            <a:off x="1650932" y="435724"/>
                            <a:ext cx="213072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A672D" w14:textId="77777777" w:rsidR="00923A1C" w:rsidRDefault="00923A1C" w:rsidP="00791E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Coil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14">
                          <a:extLst>
                            <a:ext uri="{FF2B5EF4-FFF2-40B4-BE49-F238E27FC236}">
                              <a16:creationId xmlns:a16="http://schemas.microsoft.com/office/drawing/2014/main" id="{D559DA88-4854-44E0-8E02-3C137AEA1BCC}"/>
                            </a:ext>
                          </a:extLst>
                        </wps:cNvPr>
                        <wps:cNvSpPr txBox="1"/>
                        <wps:spPr>
                          <a:xfrm rot="20764140">
                            <a:off x="0" y="653586"/>
                            <a:ext cx="213072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C51431" w14:textId="77777777" w:rsidR="00923A1C" w:rsidRDefault="00923A1C" w:rsidP="00791E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Flange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42290" id="Group 10" o:spid="_x0000_s1026" style="position:absolute;left:0;text-align:left;margin-left:16.7pt;margin-top:50.7pt;width:316.55pt;height:127.6pt;z-index:251659264" coordsize="40201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15040;width:21308;height:3693;rotation:-912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" filled="f" stroked="f">
                  <v:textbox style="mso-fit-shape-to-text:t">
                    <w:txbxContent>
                      <w:p w14:paraId="6E084FE3" w14:textId="77777777" w:rsidR="00923A1C" w:rsidRDefault="00923A1C" w:rsidP="00791E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Sleeve</w:t>
                        </w:r>
                      </w:p>
                    </w:txbxContent>
                  </v:textbox>
                </v:shape>
                <v:shape id="TextBox 12" o:spid="_x0000_s1028" type="#_x0000_t202" style="position:absolute;left:18893;top:12512;width:21308;height:3693;rotation:-912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" filled="f" stroked="f">
                  <v:textbox style="mso-fit-shape-to-text:t">
                    <w:txbxContent>
                      <w:p w14:paraId="4FEDBAF7" w14:textId="77777777" w:rsidR="00923A1C" w:rsidRDefault="00923A1C" w:rsidP="00791E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Core</w:t>
                        </w:r>
                      </w:p>
                    </w:txbxContent>
                  </v:textbox>
                </v:shape>
                <v:shape id="TextBox 13" o:spid="_x0000_s1029" type="#_x0000_t202" style="position:absolute;left:16509;top:4357;width:21307;height:3693;rotation:-912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" filled="f" stroked="f">
                  <v:textbox style="mso-fit-shape-to-text:t">
                    <w:txbxContent>
                      <w:p w14:paraId="6E2A672D" w14:textId="77777777" w:rsidR="00923A1C" w:rsidRDefault="00923A1C" w:rsidP="00791E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Coil</w:t>
                        </w:r>
                      </w:p>
                    </w:txbxContent>
                  </v:textbox>
                </v:shape>
                <v:shape id="TextBox 14" o:spid="_x0000_s1030" type="#_x0000_t202" style="position:absolute;top:6535;width:21307;height:3694;rotation:-912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" filled="f" stroked="f">
                  <v:textbox style="mso-fit-shape-to-text:t">
                    <w:txbxContent>
                      <w:p w14:paraId="6BC51431" w14:textId="77777777" w:rsidR="00923A1C" w:rsidRDefault="00923A1C" w:rsidP="00791EE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Flange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1EEC">
        <w:t xml:space="preserve"> </w:t>
      </w:r>
      <w:r w:rsidR="00AD2809" w:rsidRPr="00AD2809">
        <w:rPr>
          <w:noProof/>
        </w:rPr>
        <w:drawing>
          <wp:inline distT="0" distB="0" distL="0" distR="0" wp14:anchorId="7BF74CA8" wp14:editId="66C3FE28">
            <wp:extent cx="5448308" cy="3825240"/>
            <wp:effectExtent l="0" t="0" r="0" b="3810"/>
            <wp:docPr id="8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E3E4AAE0-3AE2-4B41-A5D5-0F5DCE22AC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8">
                      <a:extLst>
                        <a:ext uri="{FF2B5EF4-FFF2-40B4-BE49-F238E27FC236}">
                          <a16:creationId xmlns:a16="http://schemas.microsoft.com/office/drawing/2014/main" id="{E3E4AAE0-3AE2-4B41-A5D5-0F5DCE22AC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3796" b="13483"/>
                    <a:stretch/>
                  </pic:blipFill>
                  <pic:spPr bwMode="auto">
                    <a:xfrm>
                      <a:off x="0" y="0"/>
                      <a:ext cx="5449888" cy="3826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668D4" w14:textId="77777777" w:rsidR="0006144E" w:rsidRDefault="0006144E" w:rsidP="00BC061F">
      <w:pPr>
        <w:pStyle w:val="Caption"/>
        <w:jc w:val="center"/>
      </w:pPr>
    </w:p>
    <w:p w14:paraId="487049B5" w14:textId="254BC8E1" w:rsidR="00026364" w:rsidRDefault="00B90EC2" w:rsidP="00BC061F">
      <w:pPr>
        <w:pStyle w:val="Caption"/>
        <w:jc w:val="center"/>
        <w:rPr>
          <w:rFonts w:ascii="Times New Roman" w:hAnsi="Times New Roman" w:cs="Times New Roman"/>
        </w:rPr>
      </w:pPr>
      <w:r>
        <w:t xml:space="preserve">Figure </w:t>
      </w:r>
      <w:r w:rsidR="003F2FC7">
        <w:fldChar w:fldCharType="begin"/>
      </w:r>
      <w:r w:rsidR="003F2FC7">
        <w:instrText xml:space="preserve"> SEQ Figure \* ARABIC </w:instrText>
      </w:r>
      <w:r w:rsidR="003F2FC7">
        <w:fldChar w:fldCharType="separate"/>
      </w:r>
      <w:r w:rsidR="003F2FC7">
        <w:rPr>
          <w:noProof/>
        </w:rPr>
        <w:t>2</w:t>
      </w:r>
      <w:r w:rsidR="003F2FC7">
        <w:rPr>
          <w:noProof/>
        </w:rPr>
        <w:fldChar w:fldCharType="end"/>
      </w:r>
      <w:r>
        <w:t xml:space="preserve">: </w:t>
      </w:r>
      <w:r w:rsidR="00E83F72">
        <w:t xml:space="preserve">The magnet design showing the iron core and </w:t>
      </w:r>
      <w:r w:rsidR="008C09EC">
        <w:t>the coils</w:t>
      </w:r>
      <w:r>
        <w:t>.</w:t>
      </w:r>
    </w:p>
    <w:p w14:paraId="4295C3F0" w14:textId="07FA233F" w:rsidR="00186C62" w:rsidRDefault="00186C62" w:rsidP="00186C62">
      <w:pPr>
        <w:rPr>
          <w:rFonts w:ascii="Times New Roman" w:hAnsi="Times New Roman" w:cs="Times New Roman"/>
        </w:rPr>
      </w:pPr>
    </w:p>
    <w:p w14:paraId="2226CBC8" w14:textId="45646B5B" w:rsidR="00791EEC" w:rsidRDefault="00791EEC" w:rsidP="00186C62">
      <w:pPr>
        <w:rPr>
          <w:rFonts w:ascii="Times New Roman" w:hAnsi="Times New Roman" w:cs="Times New Roman"/>
        </w:rPr>
      </w:pPr>
    </w:p>
    <w:p w14:paraId="387768A3" w14:textId="77777777" w:rsidR="00791EEC" w:rsidRPr="00C03C8A" w:rsidRDefault="00791EEC" w:rsidP="00186C62">
      <w:pPr>
        <w:rPr>
          <w:rFonts w:ascii="Times New Roman" w:hAnsi="Times New Roman" w:cs="Times New Roman"/>
        </w:rPr>
      </w:pPr>
    </w:p>
    <w:p w14:paraId="22C86385" w14:textId="77777777" w:rsidR="00186C62" w:rsidRPr="00C03C8A" w:rsidRDefault="00186C62" w:rsidP="00186C62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lastRenderedPageBreak/>
        <w:t>Budget</w:t>
      </w:r>
    </w:p>
    <w:p w14:paraId="7C9EA6E0" w14:textId="77777777" w:rsidR="00186C62" w:rsidRPr="00C03C8A" w:rsidRDefault="00186C62" w:rsidP="00186C62">
      <w:pPr>
        <w:rPr>
          <w:rFonts w:ascii="Times New Roman" w:hAnsi="Times New Roman" w:cs="Times New Roman"/>
          <w:u w:val="single"/>
        </w:rPr>
      </w:pPr>
    </w:p>
    <w:p w14:paraId="6D74DD1A" w14:textId="77777777" w:rsidR="00186C62" w:rsidRPr="00C03C8A" w:rsidRDefault="00186C62" w:rsidP="00186C62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</w:t>
      </w:r>
      <w:r w:rsidRPr="000A3F26">
        <w:rPr>
          <w:rFonts w:ascii="Times New Roman" w:hAnsi="Times New Roman" w:cs="Times New Roman"/>
        </w:rPr>
        <w:t>:</w:t>
      </w:r>
    </w:p>
    <w:p w14:paraId="375326DB" w14:textId="77777777" w:rsidR="00186C62" w:rsidRPr="00C03C8A" w:rsidRDefault="00186C62" w:rsidP="00186C62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186C62" w:rsidRPr="00C03C8A" w14:paraId="76449A32" w14:textId="77777777" w:rsidTr="006F273D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067581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14:paraId="6ED69673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14:paraId="3956A9A5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B7001F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14:paraId="238C95A8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14:paraId="63561330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2B0B60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14:paraId="26605424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5888C311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042CA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14:paraId="31FEEA2B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14:paraId="1B6A4299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89AC4A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14:paraId="7AA3825F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14:paraId="6DCD8180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EE099A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14:paraId="69F34DC2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35FAEC36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186C62" w:rsidRPr="00C03C8A" w14:paraId="128C7670" w14:textId="77777777" w:rsidTr="006F273D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DC746A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AD0E9" w14:textId="77777777" w:rsidR="00186C62" w:rsidRPr="00C03C8A" w:rsidRDefault="00186C62" w:rsidP="006F273D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D62A4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1E3246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193,355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7B9BA5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206,845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ED84A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color w:val="000000"/>
              </w:rPr>
              <w:t>00,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color w:val="000000"/>
              </w:rPr>
              <w:t xml:space="preserve">00 </w:t>
            </w:r>
          </w:p>
        </w:tc>
      </w:tr>
      <w:tr w:rsidR="00186C62" w:rsidRPr="00C03C8A" w14:paraId="597A7882" w14:textId="77777777" w:rsidTr="006F273D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A85B37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C00D1F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42452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23142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193,355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189828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206,845</w:t>
            </w:r>
          </w:p>
        </w:tc>
        <w:tc>
          <w:tcPr>
            <w:tcW w:w="1283" w:type="dxa"/>
            <w:vAlign w:val="center"/>
          </w:tcPr>
          <w:p w14:paraId="6091EE93" w14:textId="77777777" w:rsidR="00186C62" w:rsidRPr="00C03C8A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>00,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00 </w:t>
            </w:r>
          </w:p>
        </w:tc>
      </w:tr>
    </w:tbl>
    <w:p w14:paraId="4A6DFDC6" w14:textId="77777777" w:rsidR="00186C62" w:rsidRPr="00B809FA" w:rsidRDefault="00186C62" w:rsidP="00186C62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B809FA">
        <w:rPr>
          <w:rFonts w:ascii="Times New Roman" w:hAnsi="Times New Roman" w:cs="Times New Roman"/>
          <w:i/>
          <w:u w:val="single"/>
        </w:rPr>
        <w:t>Notes:</w:t>
      </w:r>
    </w:p>
    <w:p w14:paraId="78AD7A01" w14:textId="77777777" w:rsidR="00186C62" w:rsidRPr="00B809FA" w:rsidRDefault="00186C62" w:rsidP="00186C62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B809FA">
        <w:rPr>
          <w:rFonts w:ascii="Times New Roman" w:hAnsi="Times New Roman" w:cs="Times New Roman"/>
        </w:rPr>
        <w:t xml:space="preserve">Costed and Committed numbers are as of </w:t>
      </w:r>
      <w:r>
        <w:rPr>
          <w:rFonts w:ascii="Times New Roman" w:hAnsi="Times New Roman" w:cs="Times New Roman"/>
        </w:rPr>
        <w:t>June</w:t>
      </w:r>
      <w:r w:rsidRPr="00B809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th</w:t>
      </w:r>
      <w:r w:rsidRPr="00B809FA">
        <w:rPr>
          <w:rFonts w:ascii="Times New Roman" w:hAnsi="Times New Roman" w:cs="Times New Roman"/>
        </w:rPr>
        <w:t>, 2022.</w:t>
      </w:r>
    </w:p>
    <w:p w14:paraId="322E79D7" w14:textId="77777777" w:rsidR="00186C62" w:rsidRDefault="00186C62" w:rsidP="00186C62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3C050226" w14:textId="77777777" w:rsidR="00186C62" w:rsidRDefault="00186C62" w:rsidP="00186C62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>Summary of expenditures by fiscal year (FY)</w:t>
      </w:r>
      <w:r w:rsidRPr="000A3F26">
        <w:rPr>
          <w:rFonts w:ascii="Times New Roman" w:hAnsi="Times New Roman" w:cs="Times New Roman"/>
          <w:bCs/>
        </w:rPr>
        <w:t>:</w:t>
      </w:r>
      <w:r w:rsidRPr="00C03C8A">
        <w:rPr>
          <w:rFonts w:ascii="Times New Roman" w:hAnsi="Times New Roman" w:cs="Times New Roman"/>
          <w:bCs/>
          <w:u w:val="single"/>
        </w:rPr>
        <w:t xml:space="preserve"> </w:t>
      </w:r>
    </w:p>
    <w:p w14:paraId="27304BDD" w14:textId="77777777" w:rsidR="00186C62" w:rsidRPr="000A3F26" w:rsidRDefault="00186C62" w:rsidP="00186C62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tbl>
      <w:tblPr>
        <w:tblW w:w="87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  <w:gridCol w:w="1890"/>
        <w:gridCol w:w="1890"/>
      </w:tblGrid>
      <w:tr w:rsidR="00186C62" w:rsidRPr="00C03C8A" w14:paraId="4FF1C44A" w14:textId="77777777" w:rsidTr="006F273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1E2" w14:textId="77777777" w:rsidR="00186C62" w:rsidRPr="00C03C8A" w:rsidRDefault="00186C62" w:rsidP="006F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615A" w14:textId="77777777" w:rsidR="00186C62" w:rsidRPr="00D10C17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0C17">
              <w:rPr>
                <w:rFonts w:ascii="Times New Roman" w:hAnsi="Times New Roman" w:cs="Times New Roman"/>
                <w:b/>
                <w:color w:val="000000" w:themeColor="text1"/>
              </w:rPr>
              <w:t>FY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0A9" w14:textId="77777777" w:rsidR="00186C62" w:rsidRPr="00D10C17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 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809" w14:textId="77777777" w:rsidR="00186C62" w:rsidRPr="00D10C17" w:rsidRDefault="00186C62" w:rsidP="006F2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FY2022</w:t>
            </w:r>
          </w:p>
        </w:tc>
      </w:tr>
      <w:tr w:rsidR="00186C62" w:rsidRPr="00C03C8A" w14:paraId="5E0BD0E7" w14:textId="77777777" w:rsidTr="006F273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E9E" w14:textId="77777777" w:rsidR="00186C62" w:rsidRPr="00C03C8A" w:rsidRDefault="00186C62" w:rsidP="006F273D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DD0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0B2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5FA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  <w:tr w:rsidR="00186C62" w:rsidRPr="00C03C8A" w14:paraId="1D188673" w14:textId="77777777" w:rsidTr="006F273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1C24" w14:textId="77777777" w:rsidR="00186C62" w:rsidRPr="00C03C8A" w:rsidRDefault="00186C62" w:rsidP="006F273D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4BF9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</w:rPr>
              <w:t>139,986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075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298B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$139,986</w:t>
            </w:r>
          </w:p>
        </w:tc>
      </w:tr>
      <w:tr w:rsidR="00186C62" w:rsidRPr="00C03C8A" w14:paraId="2F0E8FB7" w14:textId="77777777" w:rsidTr="006F273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228" w14:textId="77777777" w:rsidR="00186C62" w:rsidRPr="00C03C8A" w:rsidRDefault="00186C62" w:rsidP="006F273D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434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</w:t>
            </w:r>
            <w:r>
              <w:rPr>
                <w:rFonts w:ascii="Times New Roman" w:hAnsi="Times New Roman" w:cs="Times New Roman"/>
                <w:color w:val="000000"/>
              </w:rPr>
              <w:t>53,369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967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E70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$53,369</w:t>
            </w:r>
          </w:p>
        </w:tc>
      </w:tr>
      <w:tr w:rsidR="00186C62" w:rsidRPr="00C03C8A" w14:paraId="4B643CCB" w14:textId="77777777" w:rsidTr="006F273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313A" w14:textId="77777777" w:rsidR="00186C62" w:rsidRPr="00C03C8A" w:rsidRDefault="00186C62" w:rsidP="006F273D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E6D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</w:rPr>
              <w:t>6,745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C11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44D" w14:textId="77777777" w:rsidR="00186C62" w:rsidRPr="00C03C8A" w:rsidRDefault="00186C62" w:rsidP="006F27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$206,845</w:t>
            </w:r>
          </w:p>
        </w:tc>
      </w:tr>
    </w:tbl>
    <w:p w14:paraId="1F2A2CEF" w14:textId="77777777" w:rsidR="00186C62" w:rsidRDefault="00186C62"/>
    <w:sectPr w:rsidR="00186C62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6144E"/>
    <w:rsid w:val="000F2CA0"/>
    <w:rsid w:val="000F6449"/>
    <w:rsid w:val="00112EDB"/>
    <w:rsid w:val="00163ECD"/>
    <w:rsid w:val="001830CA"/>
    <w:rsid w:val="00186C62"/>
    <w:rsid w:val="001902BB"/>
    <w:rsid w:val="00250B85"/>
    <w:rsid w:val="002628EB"/>
    <w:rsid w:val="002B3262"/>
    <w:rsid w:val="002C6D0B"/>
    <w:rsid w:val="00305023"/>
    <w:rsid w:val="003648A6"/>
    <w:rsid w:val="00397CF2"/>
    <w:rsid w:val="003B2A96"/>
    <w:rsid w:val="003E3D12"/>
    <w:rsid w:val="003F2FC7"/>
    <w:rsid w:val="00415E67"/>
    <w:rsid w:val="0048149D"/>
    <w:rsid w:val="004D3754"/>
    <w:rsid w:val="0051356D"/>
    <w:rsid w:val="005313E4"/>
    <w:rsid w:val="00540522"/>
    <w:rsid w:val="005663D7"/>
    <w:rsid w:val="00586EA3"/>
    <w:rsid w:val="005B1B0A"/>
    <w:rsid w:val="005E033A"/>
    <w:rsid w:val="006055E7"/>
    <w:rsid w:val="00654CB1"/>
    <w:rsid w:val="00672E17"/>
    <w:rsid w:val="00681A31"/>
    <w:rsid w:val="006D4A21"/>
    <w:rsid w:val="006F273D"/>
    <w:rsid w:val="00720168"/>
    <w:rsid w:val="007331D2"/>
    <w:rsid w:val="00753165"/>
    <w:rsid w:val="00791EEC"/>
    <w:rsid w:val="008029A0"/>
    <w:rsid w:val="00816BB6"/>
    <w:rsid w:val="00820342"/>
    <w:rsid w:val="00865FC4"/>
    <w:rsid w:val="008A16A4"/>
    <w:rsid w:val="008C09EC"/>
    <w:rsid w:val="008E7DD8"/>
    <w:rsid w:val="00923A1C"/>
    <w:rsid w:val="009834C4"/>
    <w:rsid w:val="00A6141F"/>
    <w:rsid w:val="00AD2809"/>
    <w:rsid w:val="00B13024"/>
    <w:rsid w:val="00B51E1C"/>
    <w:rsid w:val="00B90EC2"/>
    <w:rsid w:val="00BB3EB8"/>
    <w:rsid w:val="00BC061F"/>
    <w:rsid w:val="00BC7721"/>
    <w:rsid w:val="00BE685D"/>
    <w:rsid w:val="00C0606E"/>
    <w:rsid w:val="00C20FBB"/>
    <w:rsid w:val="00D02B6B"/>
    <w:rsid w:val="00D0559D"/>
    <w:rsid w:val="00D35AEA"/>
    <w:rsid w:val="00DD43FE"/>
    <w:rsid w:val="00DD5E62"/>
    <w:rsid w:val="00E83F72"/>
    <w:rsid w:val="00E85979"/>
    <w:rsid w:val="00E875FB"/>
    <w:rsid w:val="00EA35CF"/>
    <w:rsid w:val="00F13E12"/>
    <w:rsid w:val="00F6531B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DC4C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C6D0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0EC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1E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41</cp:revision>
  <cp:lastPrinted>2022-07-13T17:40:00Z</cp:lastPrinted>
  <dcterms:created xsi:type="dcterms:W3CDTF">2022-07-12T14:28:00Z</dcterms:created>
  <dcterms:modified xsi:type="dcterms:W3CDTF">2022-07-13T17:40:00Z</dcterms:modified>
</cp:coreProperties>
</file>