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6B" w:rsidRDefault="0084786B">
      <w:bookmarkStart w:id="0" w:name="_GoBack"/>
      <w:bookmarkEnd w:id="0"/>
    </w:p>
    <w:tbl>
      <w:tblPr>
        <w:tblW w:w="14072" w:type="dxa"/>
        <w:jc w:val="center"/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1013"/>
        <w:gridCol w:w="1137"/>
        <w:gridCol w:w="1080"/>
        <w:gridCol w:w="990"/>
        <w:gridCol w:w="1080"/>
        <w:gridCol w:w="810"/>
        <w:gridCol w:w="1710"/>
        <w:gridCol w:w="990"/>
        <w:gridCol w:w="1080"/>
        <w:gridCol w:w="900"/>
        <w:gridCol w:w="3282"/>
      </w:tblGrid>
      <w:tr w:rsidR="0057126D" w:rsidRPr="002A2418" w:rsidTr="0057126D">
        <w:trPr>
          <w:cantSplit/>
          <w:trHeight w:val="439"/>
          <w:tblHeader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</w:tcMar>
            <w:vAlign w:val="bottom"/>
          </w:tcPr>
          <w:p w:rsidR="006F46A4" w:rsidRDefault="006F46A4" w:rsidP="00C1554B">
            <w:pPr>
              <w:ind w:right="114"/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Condition</w:t>
            </w:r>
          </w:p>
          <w:p w:rsidR="006F46A4" w:rsidRPr="00885CBE" w:rsidRDefault="006F46A4" w:rsidP="00C1554B">
            <w:pPr>
              <w:ind w:right="114"/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(DBIE)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Pr="00885CBE" w:rsidRDefault="006378FC" w:rsidP="006378FC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 xml:space="preserve">Beam </w:t>
            </w:r>
            <w:r w:rsidR="006F46A4">
              <w:rPr>
                <w:b/>
                <w:color w:val="000000"/>
                <w:kern w:val="24"/>
                <w:sz w:val="20"/>
              </w:rPr>
              <w:t>Loss</w:t>
            </w:r>
            <w:r>
              <w:rPr>
                <w:b/>
                <w:color w:val="000000"/>
                <w:kern w:val="24"/>
                <w:sz w:val="20"/>
              </w:rPr>
              <w:t>/ Termination</w:t>
            </w:r>
            <w:r w:rsidR="006F46A4">
              <w:rPr>
                <w:b/>
                <w:color w:val="000000"/>
                <w:kern w:val="24"/>
                <w:sz w:val="20"/>
              </w:rPr>
              <w:t xml:space="preserve"> </w:t>
            </w:r>
            <w:r>
              <w:rPr>
                <w:b/>
                <w:color w:val="000000"/>
                <w:kern w:val="24"/>
                <w:sz w:val="20"/>
              </w:rPr>
              <w:t>Point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6F46A4" w:rsidRPr="00885CBE" w:rsidRDefault="006F46A4" w:rsidP="00C1554B">
            <w:pPr>
              <w:jc w:val="center"/>
              <w:rPr>
                <w:b/>
                <w:color w:val="000000"/>
                <w:kern w:val="24"/>
                <w:position w:val="8"/>
                <w:sz w:val="20"/>
                <w:vertAlign w:val="superscript"/>
              </w:rPr>
            </w:pPr>
            <w:r w:rsidRPr="00885CBE">
              <w:rPr>
                <w:b/>
                <w:color w:val="000000"/>
                <w:kern w:val="24"/>
                <w:sz w:val="20"/>
              </w:rPr>
              <w:t>Beam Loss Condition</w:t>
            </w:r>
          </w:p>
          <w:p w:rsidR="006F46A4" w:rsidRPr="00885CBE" w:rsidRDefault="006F46A4" w:rsidP="00C1554B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kern w:val="24"/>
                <w:position w:val="8"/>
                <w:sz w:val="20"/>
              </w:rPr>
              <w:t>(</w:t>
            </w:r>
            <w:r w:rsidRPr="00885CBE">
              <w:rPr>
                <w:b/>
                <w:color w:val="000000"/>
                <w:kern w:val="24"/>
                <w:position w:val="8"/>
                <w:sz w:val="20"/>
              </w:rPr>
              <w:t>W</w:t>
            </w:r>
            <w:r>
              <w:rPr>
                <w:b/>
                <w:color w:val="000000"/>
                <w:kern w:val="24"/>
                <w:position w:val="8"/>
                <w:sz w:val="20"/>
              </w:rPr>
              <w:t>att)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 xml:space="preserve">Duration of Event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Frequency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6F46A4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Duty Cycle*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6F46A4" w:rsidRPr="00885CBE" w:rsidRDefault="006F46A4" w:rsidP="00C1554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Exposure Location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Dose rate</w:t>
            </w:r>
          </w:p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(</w:t>
            </w:r>
            <w:proofErr w:type="spellStart"/>
            <w:r>
              <w:rPr>
                <w:b/>
                <w:color w:val="000000"/>
                <w:kern w:val="24"/>
                <w:sz w:val="20"/>
              </w:rPr>
              <w:t>mrem</w:t>
            </w:r>
            <w:proofErr w:type="spellEnd"/>
            <w:r>
              <w:rPr>
                <w:b/>
                <w:color w:val="000000"/>
                <w:kern w:val="24"/>
                <w:sz w:val="20"/>
              </w:rPr>
              <w:t>/h)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Dose/Event</w:t>
            </w:r>
          </w:p>
          <w:p w:rsidR="006F46A4" w:rsidRPr="00885CBE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(</w:t>
            </w:r>
            <w:proofErr w:type="spellStart"/>
            <w:r>
              <w:rPr>
                <w:b/>
                <w:color w:val="000000"/>
                <w:kern w:val="24"/>
                <w:sz w:val="20"/>
              </w:rPr>
              <w:t>mrem</w:t>
            </w:r>
            <w:proofErr w:type="spellEnd"/>
            <w:r>
              <w:rPr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Annual Dose**</w:t>
            </w:r>
          </w:p>
          <w:p w:rsidR="006F46A4" w:rsidRPr="00885CBE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(</w:t>
            </w:r>
            <w:proofErr w:type="spellStart"/>
            <w:r>
              <w:rPr>
                <w:b/>
                <w:color w:val="000000"/>
                <w:kern w:val="24"/>
                <w:sz w:val="20"/>
              </w:rPr>
              <w:t>mrem</w:t>
            </w:r>
            <w:proofErr w:type="spellEnd"/>
            <w:r>
              <w:rPr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bottom w:w="14" w:type="dxa"/>
            </w:tcMar>
            <w:vAlign w:val="bottom"/>
          </w:tcPr>
          <w:p w:rsidR="006F46A4" w:rsidRPr="00885CBE" w:rsidRDefault="006F46A4" w:rsidP="00C1554B">
            <w:pPr>
              <w:jc w:val="center"/>
              <w:rPr>
                <w:b/>
                <w:color w:val="000000"/>
                <w:kern w:val="24"/>
                <w:sz w:val="20"/>
              </w:rPr>
            </w:pPr>
            <w:r w:rsidRPr="00885CBE">
              <w:rPr>
                <w:b/>
                <w:color w:val="000000"/>
                <w:kern w:val="24"/>
                <w:sz w:val="20"/>
              </w:rPr>
              <w:t>Notes</w:t>
            </w: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Downstream of QCM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Pr="00885CBE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8 </w:t>
            </w:r>
            <w:proofErr w:type="spellStart"/>
            <w:r>
              <w:rPr>
                <w:color w:val="000000"/>
                <w:kern w:val="24"/>
                <w:sz w:val="20"/>
              </w:rPr>
              <w:t>hr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Continuous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6F46A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3210EE" w:rsidP="003210EE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West wall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210EE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210EE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210EE" w:rsidP="003210EE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0.18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010047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Represents 0.1% of the beam power (0.1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 xml:space="preserve">) for high current operation (100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>); assumes complete shielding at dump(s).</w:t>
            </w:r>
          </w:p>
          <w:p w:rsidR="003971AD" w:rsidRDefault="003C06A8" w:rsidP="003C06A8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Cave 2 r</w:t>
            </w:r>
            <w:r w:rsidR="00010047">
              <w:rPr>
                <w:color w:val="000000"/>
                <w:kern w:val="24"/>
                <w:sz w:val="20"/>
              </w:rPr>
              <w:t>oof is posted radiological area not routinely occupied</w:t>
            </w:r>
            <w:r>
              <w:rPr>
                <w:color w:val="000000"/>
                <w:kern w:val="24"/>
                <w:sz w:val="20"/>
              </w:rPr>
              <w:t xml:space="preserve">. </w:t>
            </w:r>
          </w:p>
          <w:p w:rsidR="00010047" w:rsidRPr="00885CBE" w:rsidRDefault="003C06A8" w:rsidP="003C06A8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Cave 1 roof is RCA</w:t>
            </w: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Pr="00C1554B">
              <w:rPr>
                <w:color w:val="000000"/>
                <w:kern w:val="24"/>
                <w:sz w:val="20"/>
                <w:vertAlign w:val="superscript"/>
              </w:rPr>
              <w:t>nd</w:t>
            </w:r>
            <w:r>
              <w:rPr>
                <w:color w:val="000000"/>
                <w:kern w:val="24"/>
                <w:sz w:val="20"/>
              </w:rPr>
              <w:t xml:space="preserve"> floor office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5723FA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0.36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Source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&lt;0.001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&lt;0.008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&lt;0.2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010047" w:rsidRPr="002A2418" w:rsidTr="0057126D">
        <w:trPr>
          <w:trHeight w:val="30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6A378F" w:rsidP="006A378F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Cave 2 r</w:t>
            </w:r>
            <w:r w:rsidR="00010047">
              <w:rPr>
                <w:color w:val="000000"/>
                <w:kern w:val="24"/>
                <w:sz w:val="20"/>
              </w:rPr>
              <w:t>oof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010047" w:rsidRPr="002A2418" w:rsidTr="0057126D">
        <w:trPr>
          <w:trHeight w:val="264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3C06A8" w:rsidP="006A378F">
            <w:pPr>
              <w:jc w:val="center"/>
              <w:rPr>
                <w:color w:val="000000"/>
                <w:kern w:val="24"/>
                <w:sz w:val="20"/>
              </w:rPr>
            </w:pPr>
            <w:proofErr w:type="spellStart"/>
            <w:r>
              <w:rPr>
                <w:color w:val="000000"/>
                <w:kern w:val="24"/>
                <w:sz w:val="20"/>
              </w:rPr>
              <w:t>Cv</w:t>
            </w:r>
            <w:proofErr w:type="spellEnd"/>
            <w:r w:rsidR="0057126D">
              <w:rPr>
                <w:color w:val="000000"/>
                <w:kern w:val="24"/>
                <w:sz w:val="20"/>
              </w:rPr>
              <w:t xml:space="preserve"> </w:t>
            </w:r>
            <w:r w:rsidR="006A378F">
              <w:rPr>
                <w:color w:val="000000"/>
                <w:kern w:val="24"/>
                <w:sz w:val="20"/>
              </w:rPr>
              <w:t>1 r</w:t>
            </w:r>
            <w:r w:rsidR="0057126D">
              <w:rPr>
                <w:color w:val="000000"/>
                <w:kern w:val="24"/>
                <w:sz w:val="20"/>
              </w:rPr>
              <w:t>oo</w:t>
            </w:r>
            <w:r w:rsidR="006A378F">
              <w:rPr>
                <w:color w:val="000000"/>
                <w:kern w:val="24"/>
                <w:sz w:val="20"/>
              </w:rPr>
              <w:t>f b</w:t>
            </w:r>
            <w:r w:rsidR="0057126D">
              <w:rPr>
                <w:color w:val="000000"/>
                <w:kern w:val="24"/>
                <w:sz w:val="20"/>
              </w:rPr>
              <w:t>ou</w:t>
            </w:r>
            <w:r w:rsidR="006A378F">
              <w:rPr>
                <w:color w:val="000000"/>
                <w:kern w:val="24"/>
                <w:sz w:val="20"/>
              </w:rPr>
              <w:t>nd</w:t>
            </w:r>
            <w:r w:rsidR="0057126D">
              <w:rPr>
                <w:color w:val="000000"/>
                <w:kern w:val="24"/>
                <w:sz w:val="20"/>
              </w:rPr>
              <w:t>a</w:t>
            </w:r>
            <w:r w:rsidR="006A378F">
              <w:rPr>
                <w:color w:val="000000"/>
                <w:kern w:val="24"/>
                <w:sz w:val="20"/>
              </w:rPr>
              <w:t>ry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C06A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C06A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3C06A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144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010047" w:rsidRDefault="00010047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297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Pr="00885CBE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C742B4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HDICE L</w:t>
            </w:r>
            <w:r w:rsidR="003B0F19">
              <w:rPr>
                <w:color w:val="000000"/>
                <w:kern w:val="24"/>
                <w:sz w:val="20"/>
              </w:rPr>
              <w:t>ine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Pr="00885CBE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60 min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2/day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6F46A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0.36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Pr="00885CBE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West wall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7.9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D208D8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Full loss (0.1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>) in low current mode (beam loss, or delivery of tune beam to F-cup</w:t>
            </w:r>
            <w:r w:rsidR="00D208D8">
              <w:rPr>
                <w:color w:val="000000"/>
                <w:kern w:val="24"/>
                <w:sz w:val="20"/>
              </w:rPr>
              <w:t>)</w:t>
            </w:r>
          </w:p>
          <w:p w:rsidR="006378FC" w:rsidRDefault="006378FC" w:rsidP="00D208D8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  <w:p w:rsidR="006378FC" w:rsidRPr="00885CBE" w:rsidRDefault="006378FC" w:rsidP="005A552E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Roof is posted radiological area and not </w:t>
            </w:r>
            <w:r w:rsidR="005A552E">
              <w:rPr>
                <w:color w:val="000000"/>
                <w:kern w:val="24"/>
                <w:sz w:val="20"/>
              </w:rPr>
              <w:t>routinely</w:t>
            </w:r>
            <w:r>
              <w:rPr>
                <w:color w:val="000000"/>
                <w:kern w:val="24"/>
                <w:sz w:val="20"/>
              </w:rPr>
              <w:t xml:space="preserve"> occupied</w:t>
            </w:r>
          </w:p>
        </w:tc>
      </w:tr>
      <w:tr w:rsidR="0057126D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D208D8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Pr="00D208D8">
              <w:rPr>
                <w:color w:val="000000"/>
                <w:kern w:val="24"/>
                <w:sz w:val="20"/>
                <w:vertAlign w:val="superscript"/>
              </w:rPr>
              <w:t>nd</w:t>
            </w:r>
            <w:r>
              <w:rPr>
                <w:color w:val="000000"/>
                <w:kern w:val="24"/>
                <w:sz w:val="20"/>
              </w:rPr>
              <w:t xml:space="preserve"> floor office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4.5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D208D8" w:rsidP="00C1554B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Source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0.36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6F46A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3B0F19" w:rsidRDefault="00D208D8" w:rsidP="00D208D8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He Vent</w:t>
            </w:r>
            <w:r w:rsidR="006A378F">
              <w:rPr>
                <w:color w:val="000000"/>
                <w:kern w:val="24"/>
                <w:sz w:val="20"/>
              </w:rPr>
              <w:t>/</w:t>
            </w:r>
            <w:r w:rsidR="003971AD">
              <w:rPr>
                <w:color w:val="000000"/>
                <w:kern w:val="24"/>
                <w:sz w:val="20"/>
              </w:rPr>
              <w:t xml:space="preserve">C2 </w:t>
            </w:r>
            <w:r w:rsidR="006A378F">
              <w:rPr>
                <w:color w:val="000000"/>
                <w:kern w:val="24"/>
                <w:sz w:val="20"/>
              </w:rPr>
              <w:t>roof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D208D8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421880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6378FC" w:rsidP="00C1554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3B0F19" w:rsidRDefault="003B0F19" w:rsidP="00C1554B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297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Downstream of QCM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6750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 min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3971AD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Cave 2 entry gat</w:t>
            </w:r>
            <w:r w:rsidR="00F335E0">
              <w:rPr>
                <w:color w:val="000000"/>
                <w:kern w:val="24"/>
                <w:sz w:val="20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DF20FB" w:rsidP="00F335E0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F335E0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DF20FB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A378F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Accident condition for </w:t>
            </w:r>
            <w:proofErr w:type="spellStart"/>
            <w:r>
              <w:rPr>
                <w:color w:val="000000"/>
                <w:kern w:val="24"/>
                <w:sz w:val="20"/>
              </w:rPr>
              <w:t>keV</w:t>
            </w:r>
            <w:proofErr w:type="spellEnd"/>
            <w:r>
              <w:rPr>
                <w:color w:val="000000"/>
                <w:kern w:val="24"/>
                <w:sz w:val="20"/>
              </w:rPr>
              <w:t xml:space="preserve"> run mode – 225 </w:t>
            </w:r>
            <w:proofErr w:type="spellStart"/>
            <w:r>
              <w:rPr>
                <w:color w:val="000000"/>
                <w:kern w:val="24"/>
                <w:sz w:val="20"/>
              </w:rPr>
              <w:t>keV</w:t>
            </w:r>
            <w:proofErr w:type="spellEnd"/>
            <w:r>
              <w:rPr>
                <w:color w:val="000000"/>
                <w:kern w:val="24"/>
                <w:sz w:val="20"/>
              </w:rPr>
              <w:t xml:space="preserve"> @ 30 mA</w:t>
            </w: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2a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Downstream of QCM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 min</w:t>
            </w:r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40118D" w:rsidP="001910E9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West wall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D830AB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D830AB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</w:t>
            </w:r>
            <w:r w:rsidR="00D830AB">
              <w:rPr>
                <w:color w:val="000000"/>
                <w:kern w:val="24"/>
                <w:sz w:val="20"/>
              </w:rPr>
              <w:t>015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Overcurrent condition (300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>) in high current mode (accident is only excess current, not additional beam loss)</w:t>
            </w:r>
          </w:p>
          <w:p w:rsidR="00010047" w:rsidRDefault="00010047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proofErr w:type="gramStart"/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  <w:proofErr w:type="gramEnd"/>
            <w:r>
              <w:rPr>
                <w:rFonts w:cs="Times"/>
                <w:color w:val="000000"/>
                <w:kern w:val="24"/>
                <w:sz w:val="20"/>
                <w:vertAlign w:val="superscript"/>
              </w:rPr>
              <w:t xml:space="preserve"> </w:t>
            </w:r>
            <w:r w:rsidRPr="00671564">
              <w:rPr>
                <w:rFonts w:cs="Times"/>
                <w:color w:val="000000"/>
                <w:kern w:val="24"/>
                <w:sz w:val="20"/>
              </w:rPr>
              <w:t xml:space="preserve">Duration </w:t>
            </w:r>
            <w:r w:rsidRPr="00671564">
              <w:rPr>
                <w:color w:val="000000"/>
                <w:kern w:val="24"/>
                <w:sz w:val="20"/>
              </w:rPr>
              <w:t>m</w:t>
            </w:r>
            <w:r>
              <w:rPr>
                <w:color w:val="000000"/>
                <w:kern w:val="24"/>
                <w:sz w:val="20"/>
              </w:rPr>
              <w:t>ay not be credible</w:t>
            </w:r>
            <w:r w:rsidR="00122018">
              <w:rPr>
                <w:color w:val="000000"/>
                <w:kern w:val="24"/>
                <w:sz w:val="20"/>
              </w:rPr>
              <w:t>.</w:t>
            </w:r>
          </w:p>
          <w:p w:rsidR="00122018" w:rsidRDefault="00122018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Bounded by 2b.</w:t>
            </w: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Pr="00C1554B">
              <w:rPr>
                <w:color w:val="000000"/>
                <w:kern w:val="24"/>
                <w:sz w:val="20"/>
                <w:vertAlign w:val="superscript"/>
              </w:rPr>
              <w:t>nd</w:t>
            </w:r>
            <w:r>
              <w:rPr>
                <w:color w:val="000000"/>
                <w:kern w:val="24"/>
                <w:sz w:val="20"/>
              </w:rPr>
              <w:t xml:space="preserve"> floor office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0.003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Source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0.001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010047" w:rsidRPr="002A2418" w:rsidTr="0057126D">
        <w:trPr>
          <w:trHeight w:val="297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010047" w:rsidRDefault="00010047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Roof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010047" w:rsidRDefault="00010047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17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Pr="00885CBE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="00F9251D">
              <w:rPr>
                <w:color w:val="000000"/>
                <w:kern w:val="24"/>
                <w:sz w:val="20"/>
              </w:rPr>
              <w:t>b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HDICE Line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  <w:hideMark/>
          </w:tcPr>
          <w:p w:rsidR="00671564" w:rsidRPr="00885CBE" w:rsidRDefault="00671564" w:rsidP="00671564">
            <w:pPr>
              <w:jc w:val="center"/>
              <w:rPr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  <w:r w:rsidRPr="00885CBE">
              <w:rPr>
                <w:color w:val="000000"/>
                <w:kern w:val="24"/>
                <w:sz w:val="20"/>
              </w:rPr>
              <w:t>0</w:t>
            </w:r>
            <w:r>
              <w:rPr>
                <w:color w:val="000000"/>
                <w:kern w:val="24"/>
                <w:sz w:val="20"/>
              </w:rPr>
              <w:t>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 min</w:t>
            </w:r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40118D" w:rsidRPr="00885CBE" w:rsidRDefault="00671564" w:rsidP="00401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West wall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Overcurrent condition (300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>) in low current mode; loss point in HDICE line</w:t>
            </w:r>
          </w:p>
          <w:p w:rsidR="00671564" w:rsidRPr="00885CBE" w:rsidRDefault="00671564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  <w:r>
              <w:rPr>
                <w:rFonts w:cs="Times"/>
                <w:color w:val="000000"/>
                <w:kern w:val="24"/>
                <w:sz w:val="20"/>
                <w:vertAlign w:val="superscript"/>
              </w:rPr>
              <w:t xml:space="preserve"> </w:t>
            </w:r>
            <w:r w:rsidRPr="00671564">
              <w:rPr>
                <w:rFonts w:cs="Times"/>
                <w:color w:val="000000"/>
                <w:kern w:val="24"/>
                <w:sz w:val="20"/>
              </w:rPr>
              <w:t xml:space="preserve">Duration </w:t>
            </w:r>
            <w:r w:rsidRPr="00671564">
              <w:rPr>
                <w:color w:val="000000"/>
                <w:kern w:val="24"/>
                <w:sz w:val="20"/>
              </w:rPr>
              <w:t>m</w:t>
            </w:r>
            <w:r>
              <w:rPr>
                <w:color w:val="000000"/>
                <w:kern w:val="24"/>
                <w:sz w:val="20"/>
              </w:rPr>
              <w:t>ay not be credible</w:t>
            </w:r>
          </w:p>
        </w:tc>
      </w:tr>
      <w:tr w:rsidR="0057126D" w:rsidRPr="002A2418" w:rsidTr="0057126D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Pr="005A552E">
              <w:rPr>
                <w:color w:val="000000"/>
                <w:kern w:val="24"/>
                <w:sz w:val="20"/>
                <w:vertAlign w:val="superscript"/>
              </w:rPr>
              <w:t>nd</w:t>
            </w:r>
            <w:r>
              <w:rPr>
                <w:color w:val="000000"/>
                <w:kern w:val="24"/>
                <w:sz w:val="20"/>
              </w:rPr>
              <w:t xml:space="preserve"> floor office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37.5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57126D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Source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57126D" w:rsidRPr="002A2418" w:rsidTr="00DE4829">
        <w:trPr>
          <w:trHeight w:val="30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671564" w:rsidRPr="00885CBE" w:rsidRDefault="00671564" w:rsidP="00671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 Vent</w:t>
            </w:r>
            <w:r w:rsidR="006A378F">
              <w:rPr>
                <w:sz w:val="20"/>
              </w:rPr>
              <w:t>/roof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75000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37500***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671564" w:rsidRDefault="00671564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DE4829" w:rsidRPr="002A2418" w:rsidTr="004246A1">
        <w:trPr>
          <w:trHeight w:val="17"/>
          <w:jc w:val="center"/>
        </w:trPr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DE4829" w:rsidRDefault="00DE4829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DE4829" w:rsidRDefault="00DE4829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All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DE4829" w:rsidRDefault="00DE4829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DE4829" w:rsidRDefault="00DE4829" w:rsidP="00671564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 min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DE4829" w:rsidRDefault="00DE4829" w:rsidP="00671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6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2" w:type="dxa"/>
              <w:bottom w:w="22" w:type="dxa"/>
            </w:tcMar>
            <w:vAlign w:val="center"/>
          </w:tcPr>
          <w:p w:rsidR="00DE4829" w:rsidRDefault="00DE4829" w:rsidP="00671564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This condition is considered normal operation under the first two scenarios</w:t>
            </w:r>
          </w:p>
        </w:tc>
      </w:tr>
      <w:tr w:rsidR="001910E9" w:rsidRPr="002A2418" w:rsidTr="0057126D">
        <w:trPr>
          <w:trHeight w:val="17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Pr="00885CBE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Downstream of QCM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  <w:hideMark/>
          </w:tcPr>
          <w:p w:rsidR="001910E9" w:rsidRPr="00885CBE" w:rsidRDefault="001910E9" w:rsidP="00641732">
            <w:pPr>
              <w:jc w:val="center"/>
              <w:rPr>
                <w:sz w:val="20"/>
              </w:rPr>
            </w:pPr>
            <w:r>
              <w:rPr>
                <w:color w:val="000000"/>
                <w:kern w:val="24"/>
                <w:sz w:val="20"/>
              </w:rPr>
              <w:t>10</w:t>
            </w:r>
            <w:r w:rsidRPr="00885CBE">
              <w:rPr>
                <w:color w:val="000000"/>
                <w:kern w:val="24"/>
                <w:sz w:val="20"/>
              </w:rPr>
              <w:t>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</w:t>
            </w:r>
            <w:r w:rsidRPr="00885CBE">
              <w:rPr>
                <w:color w:val="000000"/>
                <w:kern w:val="24"/>
                <w:sz w:val="20"/>
              </w:rPr>
              <w:t xml:space="preserve"> min</w:t>
            </w:r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  <w:hideMark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West wall/ </w:t>
            </w:r>
          </w:p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Labyrinth wall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1/8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1910E9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0.5/4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N/A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Accidental full loss of high current mode beam (100 </w:t>
            </w:r>
            <w:proofErr w:type="spellStart"/>
            <w:r>
              <w:rPr>
                <w:color w:val="000000"/>
                <w:kern w:val="24"/>
                <w:sz w:val="20"/>
              </w:rPr>
              <w:t>uA</w:t>
            </w:r>
            <w:proofErr w:type="spellEnd"/>
            <w:r>
              <w:rPr>
                <w:color w:val="000000"/>
                <w:kern w:val="24"/>
                <w:sz w:val="20"/>
              </w:rPr>
              <w:t>).</w:t>
            </w:r>
          </w:p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 w:rsidRPr="00421880">
              <w:rPr>
                <w:rFonts w:cs="Times"/>
                <w:color w:val="000000"/>
                <w:kern w:val="24"/>
                <w:sz w:val="20"/>
                <w:vertAlign w:val="superscript"/>
              </w:rPr>
              <w:t>ƭ</w:t>
            </w:r>
            <w:r>
              <w:rPr>
                <w:rFonts w:cs="Times"/>
                <w:color w:val="000000"/>
                <w:kern w:val="24"/>
                <w:sz w:val="20"/>
                <w:vertAlign w:val="superscript"/>
              </w:rPr>
              <w:t xml:space="preserve"> </w:t>
            </w:r>
            <w:r w:rsidRPr="00671564">
              <w:rPr>
                <w:rFonts w:cs="Times"/>
                <w:color w:val="000000"/>
                <w:kern w:val="24"/>
                <w:sz w:val="20"/>
              </w:rPr>
              <w:t xml:space="preserve">Duration </w:t>
            </w:r>
            <w:r w:rsidRPr="00671564">
              <w:rPr>
                <w:color w:val="000000"/>
                <w:kern w:val="24"/>
                <w:sz w:val="20"/>
              </w:rPr>
              <w:t>m</w:t>
            </w:r>
            <w:r>
              <w:rPr>
                <w:color w:val="000000"/>
                <w:kern w:val="24"/>
                <w:sz w:val="20"/>
              </w:rPr>
              <w:t>ay not be credible</w:t>
            </w:r>
          </w:p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Bounded by 2b.</w:t>
            </w:r>
          </w:p>
          <w:p w:rsidR="001910E9" w:rsidRPr="00885CBE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1910E9" w:rsidRPr="002A2418" w:rsidTr="0057126D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  <w:r w:rsidRPr="00C1554B">
              <w:rPr>
                <w:color w:val="000000"/>
                <w:kern w:val="24"/>
                <w:sz w:val="20"/>
                <w:vertAlign w:val="superscript"/>
              </w:rPr>
              <w:t>nd</w:t>
            </w:r>
            <w:r>
              <w:rPr>
                <w:color w:val="000000"/>
                <w:kern w:val="24"/>
                <w:sz w:val="20"/>
              </w:rPr>
              <w:t xml:space="preserve"> floor office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1910E9" w:rsidRPr="002A2418" w:rsidTr="0057126D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Source lab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0.4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1910E9" w:rsidRPr="002A2418" w:rsidTr="001910E9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Roof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3000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  <w:tr w:rsidR="001910E9" w:rsidRPr="002A2418" w:rsidTr="0057126D">
        <w:trPr>
          <w:trHeight w:val="17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left w:w="29" w:type="dxa"/>
              <w:bottom w:w="22" w:type="dxa"/>
              <w:right w:w="29" w:type="dxa"/>
            </w:tcMar>
            <w:vAlign w:val="center"/>
          </w:tcPr>
          <w:p w:rsidR="001910E9" w:rsidRDefault="001910E9" w:rsidP="00641732">
            <w:pPr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Cv1 roof boundary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center"/>
              <w:rPr>
                <w:color w:val="000000"/>
                <w:kern w:val="24"/>
                <w:sz w:val="20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B79"/>
            <w:tcMar>
              <w:top w:w="22" w:type="dxa"/>
              <w:bottom w:w="22" w:type="dxa"/>
            </w:tcMar>
            <w:vAlign w:val="center"/>
          </w:tcPr>
          <w:p w:rsidR="001910E9" w:rsidRDefault="001910E9" w:rsidP="00641732">
            <w:pPr>
              <w:ind w:left="76" w:right="106"/>
              <w:jc w:val="left"/>
              <w:rPr>
                <w:color w:val="000000"/>
                <w:kern w:val="24"/>
                <w:sz w:val="20"/>
              </w:rPr>
            </w:pPr>
          </w:p>
        </w:tc>
      </w:tr>
    </w:tbl>
    <w:p w:rsidR="004F1BB2" w:rsidRPr="001246FF" w:rsidRDefault="001246FF" w:rsidP="007A5391">
      <w:pPr>
        <w:jc w:val="left"/>
        <w:rPr>
          <w:sz w:val="20"/>
        </w:rPr>
      </w:pPr>
      <w:r w:rsidRPr="001246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</wp:posOffset>
                </wp:positionV>
                <wp:extent cx="504825" cy="120650"/>
                <wp:effectExtent l="0" t="0" r="28575" b="12700"/>
                <wp:wrapTight wrapText="bothSides">
                  <wp:wrapPolygon edited="0">
                    <wp:start x="0" y="0"/>
                    <wp:lineTo x="0" y="20463"/>
                    <wp:lineTo x="22008" y="20463"/>
                    <wp:lineTo x="2200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0650"/>
                        </a:xfrm>
                        <a:prstGeom prst="rect">
                          <a:avLst/>
                        </a:prstGeom>
                        <a:solidFill>
                          <a:srgbClr val="F2FB7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BB2" w:rsidRDefault="004F1BB2" w:rsidP="004F1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pt;margin-top:1.4pt;width:39.7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" fillcolor="#f2fb79" strokeweight=".5pt">
                <v:textbox>
                  <w:txbxContent>
                    <w:p w:rsidR="004F1BB2" w:rsidRDefault="004F1BB2" w:rsidP="004F1BB2"/>
                  </w:txbxContent>
                </v:textbox>
                <w10:wrap type="tight"/>
              </v:shape>
            </w:pict>
          </mc:Fallback>
        </mc:AlternateContent>
      </w:r>
      <w:r w:rsidRPr="001246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17780</wp:posOffset>
                </wp:positionV>
                <wp:extent cx="504825" cy="120650"/>
                <wp:effectExtent l="0" t="0" r="28575" b="12700"/>
                <wp:wrapTight wrapText="bothSides">
                  <wp:wrapPolygon edited="0">
                    <wp:start x="0" y="0"/>
                    <wp:lineTo x="0" y="20463"/>
                    <wp:lineTo x="22008" y="20463"/>
                    <wp:lineTo x="2200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BB2" w:rsidRDefault="004F1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pt;margin-top:1.4pt;width:39.75pt;height:9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" fillcolor="#c5e0b3 [1305]" strokeweight=".5pt">
                <v:textbox>
                  <w:txbxContent>
                    <w:p w:rsidR="004F1BB2" w:rsidRDefault="004F1BB2"/>
                  </w:txbxContent>
                </v:textbox>
                <w10:wrap type="tight"/>
              </v:shape>
            </w:pict>
          </mc:Fallback>
        </mc:AlternateContent>
      </w:r>
      <w:r w:rsidR="004F1BB2" w:rsidRPr="001246FF">
        <w:rPr>
          <w:sz w:val="20"/>
        </w:rPr>
        <w:t xml:space="preserve">Routine operation                 Off-normal condition      </w:t>
      </w:r>
    </w:p>
    <w:p w:rsidR="004F1BB2" w:rsidRPr="001246FF" w:rsidRDefault="004F1BB2">
      <w:pPr>
        <w:rPr>
          <w:sz w:val="20"/>
        </w:rPr>
      </w:pPr>
    </w:p>
    <w:p w:rsidR="00D125D6" w:rsidRPr="00641732" w:rsidRDefault="00D125D6">
      <w:pPr>
        <w:rPr>
          <w:sz w:val="20"/>
        </w:rPr>
      </w:pPr>
      <w:r w:rsidRPr="00641732">
        <w:rPr>
          <w:sz w:val="20"/>
        </w:rPr>
        <w:t>* Assumes 900 hours operation/y</w:t>
      </w:r>
      <w:r w:rsidR="00135406" w:rsidRPr="00641732">
        <w:rPr>
          <w:sz w:val="20"/>
        </w:rPr>
        <w:t>;</w:t>
      </w:r>
      <w:r w:rsidR="00B14CBD" w:rsidRPr="00641732">
        <w:rPr>
          <w:sz w:val="20"/>
        </w:rPr>
        <w:t xml:space="preserve"> 20% high-current, 80% low-current mode</w:t>
      </w:r>
      <w:r w:rsidR="00135406" w:rsidRPr="00641732">
        <w:rPr>
          <w:sz w:val="20"/>
        </w:rPr>
        <w:t xml:space="preserve"> (25% of low current running at 100 </w:t>
      </w:r>
      <w:proofErr w:type="spellStart"/>
      <w:proofErr w:type="gramStart"/>
      <w:r w:rsidR="00135406" w:rsidRPr="00641732">
        <w:rPr>
          <w:sz w:val="20"/>
        </w:rPr>
        <w:t>nA</w:t>
      </w:r>
      <w:proofErr w:type="spellEnd"/>
      <w:proofErr w:type="gramEnd"/>
      <w:r w:rsidR="00135406" w:rsidRPr="00641732">
        <w:rPr>
          <w:sz w:val="20"/>
        </w:rPr>
        <w:t>)</w:t>
      </w:r>
    </w:p>
    <w:p w:rsidR="00F6163D" w:rsidRPr="00641732" w:rsidRDefault="003C06A8">
      <w:pPr>
        <w:rPr>
          <w:sz w:val="20"/>
        </w:rPr>
      </w:pPr>
      <w:r>
        <w:rPr>
          <w:sz w:val="20"/>
        </w:rPr>
        <w:t>** Non-RCA</w:t>
      </w:r>
      <w:r w:rsidR="00F6163D" w:rsidRPr="00641732">
        <w:rPr>
          <w:sz w:val="20"/>
        </w:rPr>
        <w:t xml:space="preserve"> design goal is 10 </w:t>
      </w:r>
      <w:proofErr w:type="spellStart"/>
      <w:r w:rsidR="00F6163D" w:rsidRPr="00641732">
        <w:rPr>
          <w:sz w:val="20"/>
        </w:rPr>
        <w:t>mrem</w:t>
      </w:r>
      <w:proofErr w:type="spellEnd"/>
      <w:r w:rsidR="00F6163D" w:rsidRPr="00641732">
        <w:rPr>
          <w:sz w:val="20"/>
        </w:rPr>
        <w:t>/y</w:t>
      </w:r>
      <w:r>
        <w:rPr>
          <w:sz w:val="20"/>
        </w:rPr>
        <w:t xml:space="preserve">, RCA design goal is 250 </w:t>
      </w:r>
      <w:proofErr w:type="spellStart"/>
      <w:r>
        <w:rPr>
          <w:sz w:val="20"/>
        </w:rPr>
        <w:t>mrem</w:t>
      </w:r>
      <w:proofErr w:type="spellEnd"/>
      <w:r>
        <w:rPr>
          <w:sz w:val="20"/>
        </w:rPr>
        <w:t>/y</w:t>
      </w:r>
    </w:p>
    <w:p w:rsidR="0060116E" w:rsidRDefault="00D125D6" w:rsidP="00364BC5">
      <w:pPr>
        <w:jc w:val="left"/>
        <w:sectPr w:rsidR="0060116E" w:rsidSect="001246FF">
          <w:headerReference w:type="default" r:id="rId6"/>
          <w:pgSz w:w="15840" w:h="12240" w:orient="landscape"/>
          <w:pgMar w:top="450" w:right="540" w:bottom="360" w:left="630" w:header="360" w:footer="720" w:gutter="0"/>
          <w:cols w:space="720"/>
          <w:docGrid w:linePitch="360"/>
        </w:sectPr>
      </w:pPr>
      <w:r w:rsidRPr="00641732">
        <w:rPr>
          <w:sz w:val="20"/>
        </w:rPr>
        <w:t>**</w:t>
      </w:r>
      <w:r w:rsidR="00F6163D" w:rsidRPr="00641732">
        <w:rPr>
          <w:sz w:val="20"/>
        </w:rPr>
        <w:t>*</w:t>
      </w:r>
      <w:r w:rsidRPr="00641732">
        <w:rPr>
          <w:sz w:val="20"/>
        </w:rPr>
        <w:t xml:space="preserve"> Credited Control required</w:t>
      </w:r>
      <w:r>
        <w:t xml:space="preserve"> </w:t>
      </w:r>
    </w:p>
    <w:p w:rsidR="009C56D5" w:rsidRDefault="009C56D5">
      <w:pPr>
        <w:rPr>
          <w:b/>
          <w:i/>
        </w:rPr>
      </w:pPr>
    </w:p>
    <w:p w:rsidR="00D125D6" w:rsidRPr="00917430" w:rsidRDefault="00917430">
      <w:pPr>
        <w:rPr>
          <w:b/>
          <w:i/>
        </w:rPr>
      </w:pPr>
      <w:r w:rsidRPr="00917430">
        <w:rPr>
          <w:b/>
          <w:i/>
        </w:rPr>
        <w:t xml:space="preserve">Credited Control Requirement - </w:t>
      </w:r>
    </w:p>
    <w:p w:rsidR="00917430" w:rsidRPr="00917430" w:rsidRDefault="00917430">
      <w:pPr>
        <w:rPr>
          <w:i/>
        </w:rPr>
      </w:pPr>
    </w:p>
    <w:p w:rsidR="00E43251" w:rsidRDefault="00D125D6">
      <w:r>
        <w:t xml:space="preserve">A credited control is </w:t>
      </w:r>
      <w:r w:rsidR="00EA0E02">
        <w:t>required to prevent</w:t>
      </w:r>
      <w:r w:rsidR="00E43251">
        <w:t xml:space="preserve"> DBIE</w:t>
      </w:r>
      <w:r w:rsidR="00EA0E02">
        <w:t xml:space="preserve"> </w:t>
      </w:r>
      <w:r w:rsidR="00EA0E02" w:rsidRPr="006A378F">
        <w:t>condition</w:t>
      </w:r>
      <w:r w:rsidR="006A378F" w:rsidRPr="006A378F">
        <w:t xml:space="preserve"> </w:t>
      </w:r>
      <w:r w:rsidR="001246FF" w:rsidRPr="006A378F">
        <w:t>2</w:t>
      </w:r>
      <w:r w:rsidR="006A378F" w:rsidRPr="006A378F">
        <w:t>b</w:t>
      </w:r>
      <w:r w:rsidRPr="006A378F">
        <w:t>.</w:t>
      </w:r>
      <w:r>
        <w:t xml:space="preserve">  </w:t>
      </w:r>
      <w:r w:rsidR="002624E2">
        <w:t xml:space="preserve">This assumes that an overcurrent condition of 300 </w:t>
      </w:r>
      <w:proofErr w:type="spellStart"/>
      <w:r w:rsidR="002624E2" w:rsidRPr="00917430">
        <w:rPr>
          <w:u w:val="single"/>
        </w:rPr>
        <w:t>uA</w:t>
      </w:r>
      <w:proofErr w:type="spellEnd"/>
      <w:r w:rsidR="002624E2">
        <w:t xml:space="preserve"> can occur while in low current mode</w:t>
      </w:r>
      <w:r w:rsidR="001E04D1">
        <w:t xml:space="preserve"> (beam to HDICE)</w:t>
      </w:r>
      <w:r w:rsidR="002624E2">
        <w:t xml:space="preserve">.  </w:t>
      </w:r>
      <w:r>
        <w:t xml:space="preserve">If a beam loss/accounting system is used, it must prevent an event that would cause a dose of 15 rem.  </w:t>
      </w:r>
      <w:r w:rsidR="00E43251">
        <w:t xml:space="preserve">In low current mode, a </w:t>
      </w:r>
      <w:r w:rsidR="002624E2">
        <w:t xml:space="preserve">total current </w:t>
      </w:r>
      <w:r w:rsidR="00E43251">
        <w:t xml:space="preserve">limit of 100 </w:t>
      </w:r>
      <w:proofErr w:type="spellStart"/>
      <w:proofErr w:type="gramStart"/>
      <w:r w:rsidR="00E43251">
        <w:t>nA</w:t>
      </w:r>
      <w:proofErr w:type="spellEnd"/>
      <w:proofErr w:type="gramEnd"/>
      <w:r w:rsidR="00E43251">
        <w:t xml:space="preserve"> would easily satisfy the condition.</w:t>
      </w:r>
    </w:p>
    <w:p w:rsidR="00E43251" w:rsidRDefault="00E43251"/>
    <w:p w:rsidR="00E43251" w:rsidRDefault="00917430">
      <w:r>
        <w:t>If transport into HDICE line could</w:t>
      </w:r>
      <w:r w:rsidR="003971AD">
        <w:t xml:space="preserve"> occur in high current mode, </w:t>
      </w:r>
      <w:r w:rsidR="001E04D1">
        <w:t xml:space="preserve">will a BCM in that line </w:t>
      </w:r>
      <w:r>
        <w:t xml:space="preserve">continue to </w:t>
      </w:r>
      <w:r w:rsidR="001E04D1">
        <w:t>just look for an</w:t>
      </w:r>
      <w:r>
        <w:t xml:space="preserve">y current above 100 </w:t>
      </w:r>
      <w:proofErr w:type="spellStart"/>
      <w:proofErr w:type="gramStart"/>
      <w:r>
        <w:t>nA</w:t>
      </w:r>
      <w:proofErr w:type="spellEnd"/>
      <w:proofErr w:type="gramEnd"/>
      <w:r>
        <w:t>, or will some accounting algorithm be in play</w:t>
      </w:r>
      <w:r w:rsidR="001E04D1">
        <w:t>?</w:t>
      </w:r>
    </w:p>
    <w:p w:rsidR="00E43251" w:rsidRDefault="00E43251"/>
    <w:p w:rsidR="00E43251" w:rsidRDefault="00D125D6">
      <w:r>
        <w:t xml:space="preserve">Highest dose rate conditions </w:t>
      </w:r>
      <w:r w:rsidR="002624E2">
        <w:t>for beam in the HDICE line</w:t>
      </w:r>
      <w:r>
        <w:t xml:space="preserve"> equate to 0</w:t>
      </w:r>
      <w:r w:rsidRPr="00122018">
        <w:t>.</w:t>
      </w:r>
      <w:r w:rsidR="001246FF" w:rsidRPr="00122018">
        <w:t>069</w:t>
      </w:r>
      <w:r w:rsidRPr="00122018">
        <w:t xml:space="preserve"> </w:t>
      </w:r>
      <w:proofErr w:type="spellStart"/>
      <w:r w:rsidRPr="00122018">
        <w:t>mrem</w:t>
      </w:r>
      <w:proofErr w:type="spellEnd"/>
      <w:r>
        <w:t>/</w:t>
      </w:r>
      <w:proofErr w:type="spellStart"/>
      <w:r>
        <w:t>uA</w:t>
      </w:r>
      <w:proofErr w:type="spellEnd"/>
      <w:r>
        <w:t>-sec</w:t>
      </w:r>
      <w:r w:rsidR="00E43251">
        <w:t xml:space="preserve">.  If </w:t>
      </w:r>
      <w:r w:rsidR="002624E2">
        <w:t xml:space="preserve">a </w:t>
      </w:r>
      <w:r w:rsidR="00E43251">
        <w:t xml:space="preserve">current accounting </w:t>
      </w:r>
      <w:r w:rsidR="002624E2">
        <w:t xml:space="preserve">approach </w:t>
      </w:r>
      <w:r w:rsidR="00E43251">
        <w:t>is used</w:t>
      </w:r>
      <w:r>
        <w:t xml:space="preserve">, </w:t>
      </w:r>
      <w:r w:rsidR="00E43251">
        <w:t>a</w:t>
      </w:r>
      <w:r>
        <w:t xml:space="preserve"> limit </w:t>
      </w:r>
      <w:r w:rsidRPr="00122018">
        <w:t>of ~</w:t>
      </w:r>
      <w:r w:rsidR="001246FF" w:rsidRPr="00122018">
        <w:t>3</w:t>
      </w:r>
      <w:r w:rsidRPr="00122018">
        <w:t>,</w:t>
      </w:r>
      <w:r w:rsidR="001246FF" w:rsidRPr="00122018">
        <w:t xml:space="preserve">600 </w:t>
      </w:r>
      <w:proofErr w:type="spellStart"/>
      <w:r w:rsidR="001246FF" w:rsidRPr="00122018">
        <w:t>uA</w:t>
      </w:r>
      <w:proofErr w:type="spellEnd"/>
      <w:r w:rsidR="001246FF" w:rsidRPr="00122018">
        <w:t>-</w:t>
      </w:r>
      <w:r w:rsidR="001246FF">
        <w:t>min</w:t>
      </w:r>
      <w:r w:rsidR="00E43251">
        <w:t xml:space="preserve"> is needed</w:t>
      </w:r>
      <w:r w:rsidR="00917430">
        <w:t xml:space="preserve"> to prevent the 15 rem dose.</w:t>
      </w:r>
    </w:p>
    <w:p w:rsidR="00E43251" w:rsidRDefault="00E43251"/>
    <w:p w:rsidR="00917430" w:rsidRPr="00917430" w:rsidRDefault="00917430">
      <w:pPr>
        <w:rPr>
          <w:b/>
          <w:i/>
        </w:rPr>
      </w:pPr>
      <w:r w:rsidRPr="00917430">
        <w:rPr>
          <w:b/>
          <w:i/>
        </w:rPr>
        <w:t xml:space="preserve">Other Requirements – </w:t>
      </w:r>
    </w:p>
    <w:p w:rsidR="00917430" w:rsidRDefault="00917430"/>
    <w:p w:rsidR="00D125D6" w:rsidRDefault="00D125D6">
      <w:r>
        <w:t xml:space="preserve">10 CFR 835 </w:t>
      </w:r>
      <w:r w:rsidR="00E43251">
        <w:t xml:space="preserve">also </w:t>
      </w:r>
      <w:r>
        <w:t xml:space="preserve">requires that controls be implemented such that potential doses above 1 rem in any hour are prevented through physical means (including safety interlocks).  We should assume conservatively that this condition could persist continually, since it results from a loss of </w:t>
      </w:r>
      <w:r w:rsidR="0060116E" w:rsidRPr="0000591D">
        <w:t>about</w:t>
      </w:r>
      <w:r w:rsidRPr="0000591D">
        <w:t xml:space="preserve"> </w:t>
      </w:r>
      <w:r w:rsidR="00122018">
        <w:t xml:space="preserve">16.6 </w:t>
      </w:r>
      <w:proofErr w:type="spellStart"/>
      <w:r w:rsidR="00122018">
        <w:t>uA</w:t>
      </w:r>
      <w:proofErr w:type="spellEnd"/>
      <w:r w:rsidR="00122018">
        <w:t xml:space="preserve"> </w:t>
      </w:r>
      <w:r w:rsidR="0000591D">
        <w:t>downstream of the QCM</w:t>
      </w:r>
      <w:r w:rsidR="002624E2">
        <w:t xml:space="preserve"> (1/6 the current of DBIE 4)</w:t>
      </w:r>
      <w:r>
        <w:t xml:space="preserve">.  If the PSS current monitoring system is used for this purpose, it would </w:t>
      </w:r>
      <w:r w:rsidR="0000591D">
        <w:t>need</w:t>
      </w:r>
      <w:r>
        <w:t xml:space="preserve"> a trip threshold </w:t>
      </w:r>
      <w:r w:rsidRPr="004F4335">
        <w:t>of</w:t>
      </w:r>
      <w:r w:rsidR="00EF20CA" w:rsidRPr="004F4335">
        <w:t xml:space="preserve"> </w:t>
      </w:r>
      <w:r w:rsidR="004F4335" w:rsidRPr="004F4335">
        <w:t xml:space="preserve">59,760 </w:t>
      </w:r>
      <w:proofErr w:type="spellStart"/>
      <w:r w:rsidR="004F4335" w:rsidRPr="004F4335">
        <w:t>uA</w:t>
      </w:r>
      <w:proofErr w:type="spellEnd"/>
      <w:r w:rsidR="004F4335" w:rsidRPr="004F4335">
        <w:t>-sec accrued</w:t>
      </w:r>
      <w:r w:rsidR="004F4335">
        <w:t xml:space="preserve"> in any hour</w:t>
      </w:r>
      <w:r>
        <w:t xml:space="preserve">.  This </w:t>
      </w:r>
      <w:r w:rsidR="00080145">
        <w:t xml:space="preserve">configuration </w:t>
      </w:r>
      <w:r>
        <w:t xml:space="preserve">would </w:t>
      </w:r>
      <w:r w:rsidR="00080145">
        <w:t xml:space="preserve">prevent 1 rem/h conditions, but </w:t>
      </w:r>
      <w:r>
        <w:t>allow for a high radiation area condition on the roof of cave</w:t>
      </w:r>
      <w:r w:rsidR="004F4335">
        <w:t xml:space="preserve"> 2</w:t>
      </w:r>
      <w:r>
        <w:t>, which can be controll</w:t>
      </w:r>
      <w:r w:rsidR="00080145">
        <w:t>ed by administrative means</w:t>
      </w:r>
      <w:r>
        <w:t>.</w:t>
      </w:r>
    </w:p>
    <w:p w:rsidR="002624E2" w:rsidRDefault="002624E2"/>
    <w:p w:rsidR="002624E2" w:rsidRDefault="002624E2" w:rsidP="002624E2">
      <w:r>
        <w:t xml:space="preserve">The 1 rem/h condition could also be caused by transporting </w:t>
      </w:r>
      <w:r w:rsidRPr="0000591D">
        <w:t xml:space="preserve">4 </w:t>
      </w:r>
      <w:proofErr w:type="spellStart"/>
      <w:r w:rsidRPr="0000591D">
        <w:t>uA</w:t>
      </w:r>
      <w:proofErr w:type="spellEnd"/>
      <w:r w:rsidRPr="0000591D">
        <w:t xml:space="preserve"> in</w:t>
      </w:r>
      <w:r>
        <w:t>to the HDICE line.  Again, if high current mode beam can be transported into this line</w:t>
      </w:r>
      <w:r w:rsidR="00EF20CA">
        <w:t xml:space="preserve">, an integrated loss limit </w:t>
      </w:r>
      <w:r w:rsidR="00EF20CA" w:rsidRPr="004F4335">
        <w:t>of</w:t>
      </w:r>
      <w:r w:rsidRPr="004F4335">
        <w:t xml:space="preserve"> ~14,400 </w:t>
      </w:r>
      <w:proofErr w:type="spellStart"/>
      <w:r w:rsidRPr="004F4335">
        <w:t>uA</w:t>
      </w:r>
      <w:proofErr w:type="spellEnd"/>
      <w:r w:rsidRPr="004F4335">
        <w:t>-sec</w:t>
      </w:r>
      <w:r w:rsidR="00EF20CA">
        <w:t xml:space="preserve"> is required.</w:t>
      </w:r>
      <w:r>
        <w:t xml:space="preserve"> </w:t>
      </w:r>
    </w:p>
    <w:p w:rsidR="00D125D6" w:rsidRDefault="00D125D6"/>
    <w:p w:rsidR="00363125" w:rsidRDefault="0000591D" w:rsidP="00F211D2">
      <w:pPr>
        <w:shd w:val="clear" w:color="auto" w:fill="FFFFFF" w:themeFill="background1"/>
      </w:pPr>
      <w:r>
        <w:t xml:space="preserve">The highest dose rate under normal conditions in an uncontrolled area assumed to be continually occupied is 0.044 </w:t>
      </w:r>
      <w:proofErr w:type="spellStart"/>
      <w:r>
        <w:t>mrem</w:t>
      </w:r>
      <w:proofErr w:type="spellEnd"/>
      <w:r>
        <w:t>/h</w:t>
      </w:r>
      <w:r w:rsidR="00371C7C">
        <w:t xml:space="preserve"> (west side wall)</w:t>
      </w:r>
      <w:r w:rsidR="00363125">
        <w:t>, and exists during HDICE, low-current mode.</w:t>
      </w:r>
      <w:r>
        <w:t xml:space="preserve">  This meets the design criterion of 10 </w:t>
      </w:r>
      <w:proofErr w:type="spellStart"/>
      <w:r>
        <w:t>mrem</w:t>
      </w:r>
      <w:proofErr w:type="spellEnd"/>
      <w:r>
        <w:t xml:space="preserve">/y, when duty cycle is considered.  </w:t>
      </w:r>
      <w:r w:rsidR="00363125">
        <w:t xml:space="preserve">In this mode, controlling maximum current at or below 100 </w:t>
      </w:r>
      <w:proofErr w:type="spellStart"/>
      <w:proofErr w:type="gramStart"/>
      <w:r w:rsidR="00363125">
        <w:t>nA</w:t>
      </w:r>
      <w:proofErr w:type="spellEnd"/>
      <w:proofErr w:type="gramEnd"/>
      <w:r w:rsidR="0089367A">
        <w:t xml:space="preserve"> satisfies design criteria, under the </w:t>
      </w:r>
      <w:r w:rsidR="004F4335">
        <w:t>duty cycle assumptions stated.</w:t>
      </w:r>
    </w:p>
    <w:p w:rsidR="0089367A" w:rsidRDefault="0089367A" w:rsidP="00F211D2">
      <w:pPr>
        <w:shd w:val="clear" w:color="auto" w:fill="FFFFFF" w:themeFill="background1"/>
      </w:pPr>
    </w:p>
    <w:p w:rsidR="00BB0284" w:rsidRDefault="0089367A" w:rsidP="00F211D2">
      <w:pPr>
        <w:shd w:val="clear" w:color="auto" w:fill="FFFFFF" w:themeFill="background1"/>
      </w:pPr>
      <w:r>
        <w:t xml:space="preserve">Radiation levels in occupied areas during high-current mode are </w:t>
      </w:r>
      <w:r w:rsidR="00E43251">
        <w:t>distributed d</w:t>
      </w:r>
      <w:r>
        <w:t>ifferent</w:t>
      </w:r>
      <w:r w:rsidR="00E43251">
        <w:t>ly due to the location of beam loss</w:t>
      </w:r>
      <w:r>
        <w:t xml:space="preserve">.  </w:t>
      </w:r>
      <w:r w:rsidR="00EA0E02">
        <w:t xml:space="preserve">For a continuous loss, just below </w:t>
      </w:r>
      <w:r w:rsidR="00EA0E02" w:rsidRPr="00271F6F">
        <w:t xml:space="preserve">the </w:t>
      </w:r>
      <w:r w:rsidR="004F4335">
        <w:t>59,760</w:t>
      </w:r>
      <w:r w:rsidR="00EA0E02" w:rsidRPr="00271F6F">
        <w:t xml:space="preserve"> </w:t>
      </w:r>
      <w:proofErr w:type="spellStart"/>
      <w:r w:rsidR="00EA0E02" w:rsidRPr="00271F6F">
        <w:t>uA</w:t>
      </w:r>
      <w:proofErr w:type="spellEnd"/>
      <w:r w:rsidR="00EA0E02">
        <w:t>-sec limit</w:t>
      </w:r>
      <w:r w:rsidR="005E52FD">
        <w:t xml:space="preserve"> </w:t>
      </w:r>
      <w:r w:rsidR="00917430">
        <w:t xml:space="preserve">(1 rem/h) </w:t>
      </w:r>
      <w:r w:rsidR="005E52FD">
        <w:t>mentioned above</w:t>
      </w:r>
      <w:r w:rsidR="00EA0E02">
        <w:t>, the dose ra</w:t>
      </w:r>
      <w:r w:rsidR="0060116E">
        <w:t xml:space="preserve">te at the </w:t>
      </w:r>
      <w:r w:rsidR="00364BC5">
        <w:t xml:space="preserve">cave-1 </w:t>
      </w:r>
      <w:r w:rsidR="00644294">
        <w:t xml:space="preserve">roof </w:t>
      </w:r>
      <w:r w:rsidR="00364BC5">
        <w:t xml:space="preserve">RCA boundary would be </w:t>
      </w:r>
      <w:r w:rsidR="008061FE">
        <w:t>~</w:t>
      </w:r>
      <w:r w:rsidR="00364BC5">
        <w:t xml:space="preserve">133 </w:t>
      </w:r>
      <w:proofErr w:type="spellStart"/>
      <w:r w:rsidR="00364BC5">
        <w:t>mrem</w:t>
      </w:r>
      <w:proofErr w:type="spellEnd"/>
      <w:r w:rsidR="00364BC5">
        <w:t xml:space="preserve">/h, and the dose rate at the west wall </w:t>
      </w:r>
      <w:r w:rsidR="0040118D">
        <w:t>would be about 0.17</w:t>
      </w:r>
      <w:r w:rsidR="00364BC5">
        <w:t xml:space="preserve"> </w:t>
      </w:r>
      <w:proofErr w:type="spellStart"/>
      <w:r w:rsidR="00364BC5">
        <w:t>mrem</w:t>
      </w:r>
      <w:proofErr w:type="spellEnd"/>
      <w:r w:rsidR="00EA0E02">
        <w:t xml:space="preserve">/h.  </w:t>
      </w:r>
      <w:r w:rsidR="00364BC5">
        <w:t>This causes two problems; a high radiation area on the roof of cave-1 and p</w:t>
      </w:r>
      <w:r w:rsidR="00EA0E02">
        <w:t xml:space="preserve">rojected annual dose </w:t>
      </w:r>
      <w:r w:rsidR="0040118D">
        <w:t xml:space="preserve">of about 30 </w:t>
      </w:r>
      <w:proofErr w:type="spellStart"/>
      <w:r w:rsidR="0040118D">
        <w:t>mrem</w:t>
      </w:r>
      <w:proofErr w:type="spellEnd"/>
      <w:r w:rsidR="0040118D">
        <w:t xml:space="preserve"> in</w:t>
      </w:r>
      <w:r w:rsidR="00364BC5">
        <w:t xml:space="preserve"> the uncontrolled area outside the cave.</w:t>
      </w:r>
      <w:r w:rsidR="00EA0E02">
        <w:t xml:space="preserve">  </w:t>
      </w:r>
      <w:r w:rsidR="00BB0284">
        <w:t xml:space="preserve">The most limiting of these conditions is the high radiation area on the roof.  </w:t>
      </w:r>
      <w:r w:rsidR="00135406" w:rsidRPr="00F211D2">
        <w:t xml:space="preserve">It may be possible to limit this dose with the BCA system. If this approach was used, </w:t>
      </w:r>
      <w:r w:rsidR="009B749D">
        <w:t xml:space="preserve">the aforementioned 59,760 </w:t>
      </w:r>
      <w:proofErr w:type="spellStart"/>
      <w:r w:rsidR="009B749D">
        <w:t>uA</w:t>
      </w:r>
      <w:proofErr w:type="spellEnd"/>
      <w:r w:rsidR="009B749D">
        <w:t xml:space="preserve">-sec limit would be reduced by a factor 5/133, down to about 2246 </w:t>
      </w:r>
      <w:proofErr w:type="spellStart"/>
      <w:r w:rsidR="009B749D">
        <w:t>uA</w:t>
      </w:r>
      <w:proofErr w:type="spellEnd"/>
      <w:r w:rsidR="009B749D">
        <w:t>-sec.</w:t>
      </w:r>
    </w:p>
    <w:p w:rsidR="00BB0284" w:rsidRDefault="00BB0284" w:rsidP="00F211D2">
      <w:pPr>
        <w:shd w:val="clear" w:color="auto" w:fill="FFFFFF" w:themeFill="background1"/>
      </w:pPr>
    </w:p>
    <w:p w:rsidR="00644294" w:rsidRDefault="00C06BD9" w:rsidP="00F211D2">
      <w:r>
        <w:t xml:space="preserve">If the above is correct, </w:t>
      </w:r>
      <w:r w:rsidR="009B749D">
        <w:t>a</w:t>
      </w:r>
      <w:r>
        <w:t xml:space="preserve"> BC</w:t>
      </w:r>
      <w:r w:rsidR="009B749D">
        <w:t>M/BCA system</w:t>
      </w:r>
      <w:r>
        <w:t xml:space="preserve"> could operate with a 100 </w:t>
      </w:r>
      <w:proofErr w:type="spellStart"/>
      <w:proofErr w:type="gramStart"/>
      <w:r>
        <w:t>nA</w:t>
      </w:r>
      <w:proofErr w:type="spellEnd"/>
      <w:proofErr w:type="gramEnd"/>
      <w:r>
        <w:t xml:space="preserve"> upper limit w</w:t>
      </w:r>
      <w:r w:rsidR="009B749D">
        <w:t>hen in low current mode, and a 2246</w:t>
      </w:r>
      <w:r>
        <w:t xml:space="preserve"> </w:t>
      </w:r>
      <w:proofErr w:type="spellStart"/>
      <w:r>
        <w:t>uA</w:t>
      </w:r>
      <w:proofErr w:type="spellEnd"/>
      <w:r>
        <w:t xml:space="preserve">-sec integral loss limit for high current mode and meet all </w:t>
      </w:r>
      <w:r w:rsidR="00D53288">
        <w:t>dose constraints.</w:t>
      </w:r>
      <w:r w:rsidR="00917430">
        <w:t xml:space="preserve"> </w:t>
      </w:r>
      <w:r w:rsidR="009B749D">
        <w:t xml:space="preserve"> </w:t>
      </w:r>
      <w:r w:rsidR="00917430">
        <w:t>CARMs and other controls would be defense in depth.</w:t>
      </w:r>
    </w:p>
    <w:sectPr w:rsidR="00644294" w:rsidSect="0060116E">
      <w:pgSz w:w="12240" w:h="15840"/>
      <w:pgMar w:top="540" w:right="1170" w:bottom="63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EF" w:rsidRDefault="004C36EF" w:rsidP="00120269">
      <w:r>
        <w:separator/>
      </w:r>
    </w:p>
  </w:endnote>
  <w:endnote w:type="continuationSeparator" w:id="0">
    <w:p w:rsidR="004C36EF" w:rsidRDefault="004C36EF" w:rsidP="001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EF" w:rsidRDefault="004C36EF" w:rsidP="00120269">
      <w:r>
        <w:separator/>
      </w:r>
    </w:p>
  </w:footnote>
  <w:footnote w:type="continuationSeparator" w:id="0">
    <w:p w:rsidR="004C36EF" w:rsidRDefault="004C36EF" w:rsidP="0012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9523"/>
      <w:docPartObj>
        <w:docPartGallery w:val="Watermarks"/>
        <w:docPartUnique/>
      </w:docPartObj>
    </w:sdtPr>
    <w:sdtEndPr/>
    <w:sdtContent>
      <w:p w:rsidR="00120269" w:rsidRDefault="004C36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6"/>
    <w:rsid w:val="0000591D"/>
    <w:rsid w:val="00010047"/>
    <w:rsid w:val="00080145"/>
    <w:rsid w:val="00120269"/>
    <w:rsid w:val="00122018"/>
    <w:rsid w:val="001246FF"/>
    <w:rsid w:val="00135406"/>
    <w:rsid w:val="00162F8B"/>
    <w:rsid w:val="001910E9"/>
    <w:rsid w:val="001E04D1"/>
    <w:rsid w:val="002624E2"/>
    <w:rsid w:val="00271F6F"/>
    <w:rsid w:val="002A24D5"/>
    <w:rsid w:val="003210EE"/>
    <w:rsid w:val="00336C8A"/>
    <w:rsid w:val="00363125"/>
    <w:rsid w:val="00364BC5"/>
    <w:rsid w:val="00371C7C"/>
    <w:rsid w:val="00395FCA"/>
    <w:rsid w:val="003971AD"/>
    <w:rsid w:val="003B0F19"/>
    <w:rsid w:val="003C06A8"/>
    <w:rsid w:val="003F1AF5"/>
    <w:rsid w:val="0040118D"/>
    <w:rsid w:val="00421880"/>
    <w:rsid w:val="00485FD7"/>
    <w:rsid w:val="004C36EF"/>
    <w:rsid w:val="004F1BB2"/>
    <w:rsid w:val="004F4335"/>
    <w:rsid w:val="00560E4E"/>
    <w:rsid w:val="0057126D"/>
    <w:rsid w:val="005723FA"/>
    <w:rsid w:val="005A552E"/>
    <w:rsid w:val="005E52FD"/>
    <w:rsid w:val="005F0320"/>
    <w:rsid w:val="0060116E"/>
    <w:rsid w:val="00614ABB"/>
    <w:rsid w:val="006378FC"/>
    <w:rsid w:val="0064132F"/>
    <w:rsid w:val="00641732"/>
    <w:rsid w:val="00644294"/>
    <w:rsid w:val="00671564"/>
    <w:rsid w:val="006A378F"/>
    <w:rsid w:val="006F46A4"/>
    <w:rsid w:val="006F710F"/>
    <w:rsid w:val="00771D8B"/>
    <w:rsid w:val="007A5391"/>
    <w:rsid w:val="008061FE"/>
    <w:rsid w:val="0084786B"/>
    <w:rsid w:val="0089367A"/>
    <w:rsid w:val="00917430"/>
    <w:rsid w:val="00984F14"/>
    <w:rsid w:val="009B749D"/>
    <w:rsid w:val="009C56D5"/>
    <w:rsid w:val="009D0FB0"/>
    <w:rsid w:val="009D6A4E"/>
    <w:rsid w:val="00B14CBD"/>
    <w:rsid w:val="00BB0284"/>
    <w:rsid w:val="00BF4CBF"/>
    <w:rsid w:val="00C06BD9"/>
    <w:rsid w:val="00C1554B"/>
    <w:rsid w:val="00C742B4"/>
    <w:rsid w:val="00C820D6"/>
    <w:rsid w:val="00C95659"/>
    <w:rsid w:val="00D125D6"/>
    <w:rsid w:val="00D208D8"/>
    <w:rsid w:val="00D34A8C"/>
    <w:rsid w:val="00D53288"/>
    <w:rsid w:val="00D830AB"/>
    <w:rsid w:val="00DE4829"/>
    <w:rsid w:val="00DF20FB"/>
    <w:rsid w:val="00DF45B7"/>
    <w:rsid w:val="00E11F39"/>
    <w:rsid w:val="00E43251"/>
    <w:rsid w:val="00E526F7"/>
    <w:rsid w:val="00EA0E02"/>
    <w:rsid w:val="00EF20CA"/>
    <w:rsid w:val="00F211D2"/>
    <w:rsid w:val="00F335E0"/>
    <w:rsid w:val="00F6163D"/>
    <w:rsid w:val="00F9251D"/>
    <w:rsid w:val="00FE3DE3"/>
    <w:rsid w:val="00FF298F"/>
    <w:rsid w:val="00FF4462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BBBDEF-76EC-4D28-B673-62E219A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D6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26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69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Welch</dc:creator>
  <cp:lastModifiedBy>Matthew Poelker</cp:lastModifiedBy>
  <cp:revision>2</cp:revision>
  <cp:lastPrinted>2018-12-04T13:52:00Z</cp:lastPrinted>
  <dcterms:created xsi:type="dcterms:W3CDTF">2018-12-14T19:44:00Z</dcterms:created>
  <dcterms:modified xsi:type="dcterms:W3CDTF">2018-12-14T19:44:00Z</dcterms:modified>
</cp:coreProperties>
</file>