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AD2" w:rsidRDefault="00442052">
      <w:r>
        <w:t>Joe Matalevich</w:t>
      </w:r>
    </w:p>
    <w:p w:rsidR="00442052" w:rsidRDefault="00442052">
      <w:r>
        <w:t>4-Feb-2014</w:t>
      </w:r>
    </w:p>
    <w:p w:rsidR="00BB5C1C" w:rsidRDefault="00BB5C1C"/>
    <w:p w:rsidR="00442052" w:rsidRDefault="00442052"/>
    <w:p w:rsidR="00442052" w:rsidRPr="009F1B0E" w:rsidRDefault="00442052">
      <w:pPr>
        <w:rPr>
          <w:b/>
          <w:sz w:val="44"/>
          <w:szCs w:val="44"/>
        </w:rPr>
      </w:pPr>
      <w:r w:rsidRPr="009F1B0E">
        <w:rPr>
          <w:b/>
          <w:sz w:val="44"/>
          <w:szCs w:val="44"/>
        </w:rPr>
        <w:t>Mott Dump Thermal Analysis</w:t>
      </w:r>
    </w:p>
    <w:p w:rsidR="00442052" w:rsidRDefault="00442052"/>
    <w:p w:rsidR="00442052" w:rsidRPr="00BB5C1C" w:rsidRDefault="00442052">
      <w:pPr>
        <w:rPr>
          <w:b/>
          <w:sz w:val="28"/>
          <w:szCs w:val="28"/>
        </w:rPr>
      </w:pPr>
      <w:r w:rsidRPr="00BB5C1C">
        <w:rPr>
          <w:b/>
          <w:sz w:val="28"/>
          <w:szCs w:val="28"/>
        </w:rPr>
        <w:t>Background:</w:t>
      </w:r>
    </w:p>
    <w:p w:rsidR="00442052" w:rsidRDefault="00442052" w:rsidP="00BB5C1C">
      <w:pPr>
        <w:jc w:val="both"/>
      </w:pPr>
      <w:r>
        <w:t>A new configuration dump plate is considered for the 5 MeV Mott polarimeter. The end plate configuration will consist of a beryllium plate (7.25” diameter, 0.25” thick) secured to a copper end cap (</w:t>
      </w:r>
      <w:r w:rsidR="00951A94">
        <w:t>0.75” thick) which bolts to a stainless steel pipe flange</w:t>
      </w:r>
      <w:r>
        <w:t xml:space="preserve"> with an o-ring seal.</w:t>
      </w:r>
      <w:r w:rsidR="00F15AD2">
        <w:t xml:space="preserve"> The seal material has operational temperature limits (204C for Viton; 240C for Kalrez)</w:t>
      </w:r>
      <w:r w:rsidR="00951A94">
        <w:t>. While these represent functional temperature limits, it is considered desirable</w:t>
      </w:r>
      <w:r w:rsidR="0006447F">
        <w:t xml:space="preserve"> for the copper end cap to</w:t>
      </w:r>
      <w:r w:rsidR="00951A94">
        <w:t xml:space="preserve"> remain below 100C.</w:t>
      </w:r>
      <w:r w:rsidR="00884532">
        <w:t xml:space="preserve"> The component configuration is depicted below:</w:t>
      </w:r>
    </w:p>
    <w:p w:rsidR="00BB5C1C" w:rsidRDefault="00BB5C1C"/>
    <w:p w:rsidR="00B6322D" w:rsidRDefault="00BB5C1C" w:rsidP="00BB5C1C">
      <w:pPr>
        <w:jc w:val="center"/>
      </w:pPr>
      <w:r>
        <w:rPr>
          <w:noProof/>
        </w:rPr>
        <mc:AlternateContent>
          <mc:Choice Requires="wps">
            <w:drawing>
              <wp:anchor distT="0" distB="0" distL="114300" distR="114300" simplePos="0" relativeHeight="251664384" behindDoc="0" locked="0" layoutInCell="1" allowOverlap="1" wp14:anchorId="4425D627" wp14:editId="7A956CA2">
                <wp:simplePos x="0" y="0"/>
                <wp:positionH relativeFrom="column">
                  <wp:posOffset>4972050</wp:posOffset>
                </wp:positionH>
                <wp:positionV relativeFrom="paragraph">
                  <wp:posOffset>1282065</wp:posOffset>
                </wp:positionV>
                <wp:extent cx="561975" cy="114300"/>
                <wp:effectExtent l="38100" t="0" r="28575" b="95250"/>
                <wp:wrapNone/>
                <wp:docPr id="6" name="Straight Arrow Connector 6"/>
                <wp:cNvGraphicFramePr/>
                <a:graphic xmlns:a="http://schemas.openxmlformats.org/drawingml/2006/main">
                  <a:graphicData uri="http://schemas.microsoft.com/office/word/2010/wordprocessingShape">
                    <wps:wsp>
                      <wps:cNvCnPr/>
                      <wps:spPr>
                        <a:xfrm flipH="1">
                          <a:off x="0" y="0"/>
                          <a:ext cx="561975" cy="114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391.5pt;margin-top:100.95pt;width:44.25pt;height:9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" strokecolor="black [3213]">
                <v:stroke endarrow="ope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466724</wp:posOffset>
                </wp:positionH>
                <wp:positionV relativeFrom="paragraph">
                  <wp:posOffset>1377315</wp:posOffset>
                </wp:positionV>
                <wp:extent cx="1171575" cy="19050"/>
                <wp:effectExtent l="0" t="76200" r="28575" b="114300"/>
                <wp:wrapNone/>
                <wp:docPr id="3" name="Straight Arrow Connector 3"/>
                <wp:cNvGraphicFramePr/>
                <a:graphic xmlns:a="http://schemas.openxmlformats.org/drawingml/2006/main">
                  <a:graphicData uri="http://schemas.microsoft.com/office/word/2010/wordprocessingShape">
                    <wps:wsp>
                      <wps:cNvCnPr/>
                      <wps:spPr>
                        <a:xfrm>
                          <a:off x="0" y="0"/>
                          <a:ext cx="1171575" cy="19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 o:spid="_x0000_s1026" type="#_x0000_t32" style="position:absolute;margin-left:36.75pt;margin-top:108.45pt;width:92.25pt;height: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" strokecolor="black [3213]">
                <v:stroke endarrow="open"/>
              </v:shape>
            </w:pict>
          </mc:Fallback>
        </mc:AlternateContent>
      </w:r>
      <w:r>
        <w:rPr>
          <w:noProof/>
        </w:rPr>
        <mc:AlternateContent>
          <mc:Choice Requires="wps">
            <w:drawing>
              <wp:anchor distT="0" distB="0" distL="114300" distR="114300" simplePos="0" relativeHeight="251661312" behindDoc="0" locked="0" layoutInCell="1" allowOverlap="1" wp14:anchorId="24929338" wp14:editId="262682F1">
                <wp:simplePos x="0" y="0"/>
                <wp:positionH relativeFrom="column">
                  <wp:posOffset>5467350</wp:posOffset>
                </wp:positionH>
                <wp:positionV relativeFrom="paragraph">
                  <wp:posOffset>1114425</wp:posOffset>
                </wp:positionV>
                <wp:extent cx="781050"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3985"/>
                        </a:xfrm>
                        <a:prstGeom prst="rect">
                          <a:avLst/>
                        </a:prstGeom>
                        <a:solidFill>
                          <a:srgbClr val="FFFFFF"/>
                        </a:solidFill>
                        <a:ln w="9525">
                          <a:noFill/>
                          <a:miter lim="800000"/>
                          <a:headEnd/>
                          <a:tailEnd/>
                        </a:ln>
                      </wps:spPr>
                      <wps:txbx>
                        <w:txbxContent>
                          <w:p w:rsidR="00BB5C1C" w:rsidRDefault="00BB5C1C">
                            <w:r>
                              <w:t>Cu 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0.5pt;margin-top:87.75pt;width:6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" stroked="f">
                <v:textbox style="mso-fit-shape-to-text:t">
                  <w:txbxContent>
                    <w:p w:rsidR="00BB5C1C" w:rsidRDefault="00BB5C1C">
                      <w:r>
                        <w:t>Cu plate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editId="36B11C9B">
                <wp:simplePos x="0" y="0"/>
                <wp:positionH relativeFrom="column">
                  <wp:posOffset>-190500</wp:posOffset>
                </wp:positionH>
                <wp:positionV relativeFrom="paragraph">
                  <wp:posOffset>1238250</wp:posOffset>
                </wp:positionV>
                <wp:extent cx="7810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3985"/>
                        </a:xfrm>
                        <a:prstGeom prst="rect">
                          <a:avLst/>
                        </a:prstGeom>
                        <a:solidFill>
                          <a:srgbClr val="FFFFFF"/>
                        </a:solidFill>
                        <a:ln w="9525">
                          <a:noFill/>
                          <a:miter lim="800000"/>
                          <a:headEnd/>
                          <a:tailEnd/>
                        </a:ln>
                      </wps:spPr>
                      <wps:txbx>
                        <w:txbxContent>
                          <w:p w:rsidR="00BB5C1C" w:rsidRDefault="00BB5C1C">
                            <w:r>
                              <w:t>Be 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5pt;margin-top:97.5pt;width:61.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" stroked="f">
                <v:textbox style="mso-fit-shape-to-text:t">
                  <w:txbxContent>
                    <w:p w:rsidR="00BB5C1C" w:rsidRDefault="00BB5C1C">
                      <w:r>
                        <w:t>Be plate</w:t>
                      </w:r>
                    </w:p>
                  </w:txbxContent>
                </v:textbox>
              </v:shape>
            </w:pict>
          </mc:Fallback>
        </mc:AlternateContent>
      </w:r>
      <w:r w:rsidR="00BF7CF8">
        <w:rPr>
          <w:noProof/>
        </w:rPr>
        <w:drawing>
          <wp:inline distT="0" distB="0" distL="0" distR="0" wp14:anchorId="7439EA7A" wp14:editId="2FDC714B">
            <wp:extent cx="2562225" cy="27816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3098" t="18363" r="24452" b="3098"/>
                    <a:stretch/>
                  </pic:blipFill>
                  <pic:spPr bwMode="auto">
                    <a:xfrm>
                      <a:off x="0" y="0"/>
                      <a:ext cx="2564493" cy="2784081"/>
                    </a:xfrm>
                    <a:prstGeom prst="rect">
                      <a:avLst/>
                    </a:prstGeom>
                    <a:ln>
                      <a:noFill/>
                    </a:ln>
                    <a:extLst>
                      <a:ext uri="{53640926-AAD7-44D8-BBD7-CCE9431645EC}">
                        <a14:shadowObscured xmlns:a14="http://schemas.microsoft.com/office/drawing/2010/main"/>
                      </a:ext>
                    </a:extLst>
                  </pic:spPr>
                </pic:pic>
              </a:graphicData>
            </a:graphic>
          </wp:inline>
        </w:drawing>
      </w:r>
      <w:r w:rsidR="00F22968">
        <w:rPr>
          <w:noProof/>
        </w:rPr>
        <w:drawing>
          <wp:inline distT="0" distB="0" distL="0" distR="0" wp14:anchorId="22608E98" wp14:editId="6D4B1124">
            <wp:extent cx="2200275" cy="277597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8250" t="16371" r="26967" b="5696"/>
                    <a:stretch/>
                  </pic:blipFill>
                  <pic:spPr bwMode="auto">
                    <a:xfrm>
                      <a:off x="0" y="0"/>
                      <a:ext cx="2201330" cy="2777305"/>
                    </a:xfrm>
                    <a:prstGeom prst="rect">
                      <a:avLst/>
                    </a:prstGeom>
                    <a:ln>
                      <a:noFill/>
                    </a:ln>
                    <a:extLst>
                      <a:ext uri="{53640926-AAD7-44D8-BBD7-CCE9431645EC}">
                        <a14:shadowObscured xmlns:a14="http://schemas.microsoft.com/office/drawing/2010/main"/>
                      </a:ext>
                    </a:extLst>
                  </pic:spPr>
                </pic:pic>
              </a:graphicData>
            </a:graphic>
          </wp:inline>
        </w:drawing>
      </w:r>
    </w:p>
    <w:p w:rsidR="00BB5C1C" w:rsidRDefault="00BB5C1C"/>
    <w:p w:rsidR="00F22968" w:rsidRDefault="0006447F">
      <w:r>
        <w:t>A photo of the existing installation shows where the copper end cap will be installed.</w:t>
      </w:r>
    </w:p>
    <w:p w:rsidR="00884532" w:rsidRDefault="00884532"/>
    <w:p w:rsidR="00F22968" w:rsidRDefault="00F22968"/>
    <w:p w:rsidR="00F22968" w:rsidRDefault="00BB5C1C" w:rsidP="00BB5C1C">
      <w:pPr>
        <w:jc w:val="center"/>
      </w:pPr>
      <w:r>
        <w:rPr>
          <w:noProof/>
        </w:rPr>
        <w:lastRenderedPageBreak/>
        <mc:AlternateContent>
          <mc:Choice Requires="wps">
            <w:drawing>
              <wp:anchor distT="0" distB="0" distL="114300" distR="114300" simplePos="0" relativeHeight="251672576" behindDoc="0" locked="0" layoutInCell="1" allowOverlap="1" wp14:anchorId="14DE6796" wp14:editId="33389DEA">
                <wp:simplePos x="0" y="0"/>
                <wp:positionH relativeFrom="column">
                  <wp:posOffset>4238625</wp:posOffset>
                </wp:positionH>
                <wp:positionV relativeFrom="paragraph">
                  <wp:posOffset>1476375</wp:posOffset>
                </wp:positionV>
                <wp:extent cx="485775" cy="2400300"/>
                <wp:effectExtent l="0" t="38100" r="66675" b="19050"/>
                <wp:wrapNone/>
                <wp:docPr id="14" name="Straight Arrow Connector 14"/>
                <wp:cNvGraphicFramePr/>
                <a:graphic xmlns:a="http://schemas.openxmlformats.org/drawingml/2006/main">
                  <a:graphicData uri="http://schemas.microsoft.com/office/word/2010/wordprocessingShape">
                    <wps:wsp>
                      <wps:cNvCnPr/>
                      <wps:spPr>
                        <a:xfrm flipV="1">
                          <a:off x="0" y="0"/>
                          <a:ext cx="485775" cy="24003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333.75pt;margin-top:116.25pt;width:38.25pt;height:189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" strokecolor="black [3213]" strokeweight="1.5pt">
                <v:stroke endarrow="open"/>
              </v:shape>
            </w:pict>
          </mc:Fallback>
        </mc:AlternateContent>
      </w:r>
      <w:r>
        <w:rPr>
          <w:noProof/>
        </w:rPr>
        <mc:AlternateContent>
          <mc:Choice Requires="wps">
            <w:drawing>
              <wp:anchor distT="0" distB="0" distL="114300" distR="114300" simplePos="0" relativeHeight="251666432" behindDoc="0" locked="0" layoutInCell="1" allowOverlap="1" wp14:anchorId="2FF1783A" wp14:editId="5D9E24A2">
                <wp:simplePos x="0" y="0"/>
                <wp:positionH relativeFrom="column">
                  <wp:posOffset>2971800</wp:posOffset>
                </wp:positionH>
                <wp:positionV relativeFrom="paragraph">
                  <wp:posOffset>3876675</wp:posOffset>
                </wp:positionV>
                <wp:extent cx="1752600" cy="32829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28295"/>
                        </a:xfrm>
                        <a:prstGeom prst="rect">
                          <a:avLst/>
                        </a:prstGeom>
                        <a:solidFill>
                          <a:srgbClr val="FFFFFF"/>
                        </a:solidFill>
                        <a:ln w="9525">
                          <a:noFill/>
                          <a:miter lim="800000"/>
                          <a:headEnd/>
                          <a:tailEnd/>
                        </a:ln>
                      </wps:spPr>
                      <wps:txbx>
                        <w:txbxContent>
                          <w:p w:rsidR="00BB5C1C" w:rsidRPr="00BB5C1C" w:rsidRDefault="00BB5C1C">
                            <w:pPr>
                              <w:rPr>
                                <w:b/>
                              </w:rPr>
                            </w:pPr>
                            <w:r w:rsidRPr="00BB5C1C">
                              <w:rPr>
                                <w:b/>
                              </w:rPr>
                              <w:t>Stainless Steel Pipe Flange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4pt;margin-top:305.25pt;width:138pt;height:2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" stroked="f">
                <v:textbox>
                  <w:txbxContent>
                    <w:p w:rsidR="00BB5C1C" w:rsidRPr="00BB5C1C" w:rsidRDefault="00BB5C1C">
                      <w:pPr>
                        <w:rPr>
                          <w:b/>
                        </w:rPr>
                      </w:pPr>
                      <w:r w:rsidRPr="00BB5C1C">
                        <w:rPr>
                          <w:b/>
                        </w:rPr>
                        <w:t>Stainless Steel Pipe Flange</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5680D46" wp14:editId="13D22374">
                <wp:simplePos x="0" y="0"/>
                <wp:positionH relativeFrom="column">
                  <wp:posOffset>4829175</wp:posOffset>
                </wp:positionH>
                <wp:positionV relativeFrom="paragraph">
                  <wp:posOffset>219075</wp:posOffset>
                </wp:positionV>
                <wp:extent cx="847090" cy="666750"/>
                <wp:effectExtent l="38100" t="0" r="29210" b="57150"/>
                <wp:wrapNone/>
                <wp:docPr id="13" name="Straight Arrow Connector 13"/>
                <wp:cNvGraphicFramePr/>
                <a:graphic xmlns:a="http://schemas.openxmlformats.org/drawingml/2006/main">
                  <a:graphicData uri="http://schemas.microsoft.com/office/word/2010/wordprocessingShape">
                    <wps:wsp>
                      <wps:cNvCnPr/>
                      <wps:spPr>
                        <a:xfrm flipH="1">
                          <a:off x="0" y="0"/>
                          <a:ext cx="847090" cy="6667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380.25pt;margin-top:17.25pt;width:66.7pt;height:5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" strokecolor="black [3213]" strokeweight="1.5pt">
                <v:stroke endarrow="open"/>
              </v:shape>
            </w:pict>
          </mc:Fallback>
        </mc:AlternateContent>
      </w:r>
      <w:r>
        <w:rPr>
          <w:noProof/>
        </w:rPr>
        <mc:AlternateContent>
          <mc:Choice Requires="wps">
            <w:drawing>
              <wp:anchor distT="0" distB="0" distL="114300" distR="114300" simplePos="0" relativeHeight="251668480" behindDoc="0" locked="0" layoutInCell="1" allowOverlap="1" wp14:anchorId="4345D509" wp14:editId="690A90F6">
                <wp:simplePos x="0" y="0"/>
                <wp:positionH relativeFrom="column">
                  <wp:posOffset>4724401</wp:posOffset>
                </wp:positionH>
                <wp:positionV relativeFrom="paragraph">
                  <wp:posOffset>-38100</wp:posOffset>
                </wp:positionV>
                <wp:extent cx="1943100"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3985"/>
                        </a:xfrm>
                        <a:prstGeom prst="rect">
                          <a:avLst/>
                        </a:prstGeom>
                        <a:solidFill>
                          <a:srgbClr val="FFFFFF"/>
                        </a:solidFill>
                        <a:ln w="9525">
                          <a:noFill/>
                          <a:miter lim="800000"/>
                          <a:headEnd/>
                          <a:tailEnd/>
                        </a:ln>
                      </wps:spPr>
                      <wps:txbx>
                        <w:txbxContent>
                          <w:p w:rsidR="00BB5C1C" w:rsidRPr="00BB5C1C" w:rsidRDefault="00BB5C1C">
                            <w:pPr>
                              <w:rPr>
                                <w:b/>
                              </w:rPr>
                            </w:pPr>
                            <w:r w:rsidRPr="00BB5C1C">
                              <w:rPr>
                                <w:b/>
                              </w:rPr>
                              <w:t xml:space="preserve">To be replaced with Copper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72pt;margin-top:-3pt;width:153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" stroked="f">
                <v:textbox style="mso-fit-shape-to-text:t">
                  <w:txbxContent>
                    <w:p w:rsidR="00BB5C1C" w:rsidRPr="00BB5C1C" w:rsidRDefault="00BB5C1C">
                      <w:pPr>
                        <w:rPr>
                          <w:b/>
                        </w:rPr>
                      </w:pPr>
                      <w:r w:rsidRPr="00BB5C1C">
                        <w:rPr>
                          <w:b/>
                        </w:rPr>
                        <w:t xml:space="preserve">To be replaced with Copper </w:t>
                      </w:r>
                    </w:p>
                  </w:txbxContent>
                </v:textbox>
              </v:shape>
            </w:pict>
          </mc:Fallback>
        </mc:AlternateContent>
      </w:r>
      <w:r w:rsidR="00F22968">
        <w:rPr>
          <w:noProof/>
        </w:rPr>
        <w:drawing>
          <wp:inline distT="0" distB="0" distL="0" distR="0">
            <wp:extent cx="5600700" cy="4200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79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00700" cy="4200525"/>
                    </a:xfrm>
                    <a:prstGeom prst="rect">
                      <a:avLst/>
                    </a:prstGeom>
                  </pic:spPr>
                </pic:pic>
              </a:graphicData>
            </a:graphic>
          </wp:inline>
        </w:drawing>
      </w:r>
    </w:p>
    <w:p w:rsidR="00BB5C1C" w:rsidRPr="00BB5C1C" w:rsidRDefault="00BB5C1C">
      <w:pPr>
        <w:rPr>
          <w:b/>
          <w:sz w:val="28"/>
          <w:szCs w:val="28"/>
        </w:rPr>
      </w:pPr>
    </w:p>
    <w:p w:rsidR="00884532" w:rsidRPr="00BB5C1C" w:rsidRDefault="00884532">
      <w:pPr>
        <w:rPr>
          <w:b/>
          <w:sz w:val="28"/>
          <w:szCs w:val="28"/>
        </w:rPr>
      </w:pPr>
      <w:r w:rsidRPr="00BB5C1C">
        <w:rPr>
          <w:b/>
          <w:sz w:val="28"/>
          <w:szCs w:val="28"/>
        </w:rPr>
        <w:t>Thermal Modeling</w:t>
      </w:r>
    </w:p>
    <w:p w:rsidR="00884532" w:rsidRDefault="00884532" w:rsidP="00BB5C1C">
      <w:pPr>
        <w:jc w:val="both"/>
      </w:pPr>
      <w:r>
        <w:t>In order to predict the expected thermal profiles under various operating conditions several models were constructed.  First a spreadsheet based calculation was performed to calculate the steady-state (SS) temperature</w:t>
      </w:r>
      <w:r w:rsidR="00B6322D">
        <w:t xml:space="preserve"> as a function of deposited energy</w:t>
      </w:r>
      <w:r>
        <w:t>. An underlying assumption of this</w:t>
      </w:r>
      <w:r w:rsidR="0006447F">
        <w:t xml:space="preserve"> simplified</w:t>
      </w:r>
      <w:r>
        <w:t xml:space="preserve"> calculation is that all deposited energy is uniformly distributed. In reality we would expect a temperature gradient with the highest temperature realized closest to the point where the beam is focused. This calculation is intended as an estimate with the </w:t>
      </w:r>
      <w:r w:rsidR="00B6322D">
        <w:t xml:space="preserve">calculated SS </w:t>
      </w:r>
      <w:r>
        <w:t xml:space="preserve">temperature </w:t>
      </w:r>
      <w:r w:rsidR="0006447F">
        <w:t>expected to be on the lower end of actual results.</w:t>
      </w:r>
      <w:r w:rsidR="00BB5C1C">
        <w:t xml:space="preserve"> Finite element modelling was performed in order to define the thermal gradients expected in the components.</w:t>
      </w:r>
    </w:p>
    <w:p w:rsidR="00884532" w:rsidRDefault="0006447F" w:rsidP="00BB5C1C">
      <w:pPr>
        <w:jc w:val="both"/>
      </w:pPr>
      <w:r>
        <w:t>As an input to the t</w:t>
      </w:r>
      <w:r w:rsidR="00BB5C1C">
        <w:t xml:space="preserve">hermal models a simulation was done (by Marty McHugh) to predict the power densities deposited in the plates under various conditions. </w:t>
      </w:r>
      <w:r>
        <w:t>The resu</w:t>
      </w:r>
      <w:r w:rsidR="00BB5C1C">
        <w:t>l</w:t>
      </w:r>
      <w:r>
        <w:t>ts of which provided a spatial definition o</w:t>
      </w:r>
      <w:r w:rsidR="00BB5C1C">
        <w:t>f the deposited energy profile. Several operating scenario</w:t>
      </w:r>
      <w:r>
        <w:t>s were evaluated</w:t>
      </w:r>
      <w:r w:rsidR="00BB5C1C">
        <w:t xml:space="preserve"> (varying beam energy; with and without a 1um gold target)</w:t>
      </w:r>
      <w:r>
        <w:t xml:space="preserve"> and the watts per unit volume of material were calculated over a three-dimensional grid of the </w:t>
      </w:r>
      <w:r w:rsidR="009F1B0E">
        <w:t>beryllium</w:t>
      </w:r>
      <w:r w:rsidR="00BB5C1C">
        <w:t xml:space="preserve"> and copper plates.  A detailed summary of these resul</w:t>
      </w:r>
      <w:r>
        <w:t>ts is included in Appendix A</w:t>
      </w:r>
      <w:r w:rsidR="00BB5C1C">
        <w:t>. A representative graph of the results is included below. The energy per unit volume is plotted vs distance from the center and also as a function of depth in the plate.</w:t>
      </w:r>
    </w:p>
    <w:p w:rsidR="00BB5C1C" w:rsidRDefault="00BB5C1C"/>
    <w:p w:rsidR="00BB5C1C" w:rsidRDefault="00BB5C1C">
      <w:r>
        <w:rPr>
          <w:noProof/>
        </w:rPr>
        <w:drawing>
          <wp:inline distT="0" distB="0" distL="0" distR="0" wp14:anchorId="61F30B37" wp14:editId="4402261B">
            <wp:extent cx="5759622" cy="3239627"/>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B5C1C" w:rsidRDefault="00BB5C1C"/>
    <w:p w:rsidR="00BB5C1C" w:rsidRDefault="00BB5C1C"/>
    <w:p w:rsidR="00BB5C1C" w:rsidRDefault="00BB5C1C">
      <w:r>
        <w:rPr>
          <w:noProof/>
        </w:rPr>
        <w:drawing>
          <wp:inline distT="0" distB="0" distL="0" distR="0" wp14:anchorId="576E842D" wp14:editId="45D1A42A">
            <wp:extent cx="5759622" cy="3239627"/>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B5C1C" w:rsidRDefault="00BB5C1C"/>
    <w:p w:rsidR="0006447F" w:rsidRDefault="004F581E" w:rsidP="009F1B0E">
      <w:pPr>
        <w:jc w:val="both"/>
      </w:pPr>
      <w:r>
        <w:lastRenderedPageBreak/>
        <w:t xml:space="preserve">Several FEA models were created to evaluate the temperature profiles resulting from the deposited power. </w:t>
      </w:r>
      <w:r w:rsidR="0006447F">
        <w:t xml:space="preserve">The first set of FEA models was utilized to determine the importance of the deposited energy profile. Since copper is such a good conductor of </w:t>
      </w:r>
      <w:r>
        <w:t>t</w:t>
      </w:r>
      <w:r w:rsidR="0006447F">
        <w:t>hermal energy it was antic</w:t>
      </w:r>
      <w:r>
        <w:t>i</w:t>
      </w:r>
      <w:r w:rsidR="0006447F">
        <w:t>pated that the distribution of thermal energy in the plates wouldn’</w:t>
      </w:r>
      <w:r>
        <w:t>t be a sig</w:t>
      </w:r>
      <w:r w:rsidR="0006447F">
        <w:t>nificant factor in the s</w:t>
      </w:r>
      <w:r>
        <w:t>teady state temperature profile.</w:t>
      </w:r>
    </w:p>
    <w:p w:rsidR="004F581E" w:rsidRDefault="004F581E" w:rsidP="009F1B0E">
      <w:pPr>
        <w:jc w:val="both"/>
      </w:pPr>
      <w:r>
        <w:t>Three similar models were generated with the only difference being the location of the deposited power. The first model deposited all of the power</w:t>
      </w:r>
      <w:r w:rsidR="009F1B0E">
        <w:t xml:space="preserve"> (predicted by the simulation results)</w:t>
      </w:r>
      <w:r>
        <w:t xml:space="preserve"> at a single point in the center of the </w:t>
      </w:r>
      <w:r w:rsidR="009F1B0E">
        <w:t>beryllium</w:t>
      </w:r>
      <w:r>
        <w:t xml:space="preserve"> plate. The second model deposited the same amount of total power, but distributed </w:t>
      </w:r>
      <w:r w:rsidR="009F1B0E">
        <w:t xml:space="preserve">it </w:t>
      </w:r>
      <w:r>
        <w:t>over ten points located fairly close to the center. In the third model the same power was distributed over a wide area.</w:t>
      </w:r>
    </w:p>
    <w:p w:rsidR="004F581E" w:rsidRDefault="004F581E" w:rsidP="004F581E">
      <w:pPr>
        <w:jc w:val="center"/>
      </w:pPr>
      <w:r>
        <w:rPr>
          <w:noProof/>
        </w:rPr>
        <w:drawing>
          <wp:inline distT="0" distB="0" distL="0" distR="0" wp14:anchorId="6FE8A3D4" wp14:editId="596F1F3C">
            <wp:extent cx="1933575" cy="195404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8314" t="13042" r="18941" b="41315"/>
                    <a:stretch/>
                  </pic:blipFill>
                  <pic:spPr bwMode="auto">
                    <a:xfrm>
                      <a:off x="0" y="0"/>
                      <a:ext cx="1946435" cy="196703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32FDF02" wp14:editId="5E8B1376">
            <wp:extent cx="2014243" cy="196215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6389" t="13055" r="16372" b="36910"/>
                    <a:stretch/>
                  </pic:blipFill>
                  <pic:spPr bwMode="auto">
                    <a:xfrm>
                      <a:off x="0" y="0"/>
                      <a:ext cx="2032083" cy="197952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5CFD611" wp14:editId="1153EFB8">
            <wp:extent cx="1924050" cy="195751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8523" t="10620" r="24559" b="37573"/>
                    <a:stretch/>
                  </pic:blipFill>
                  <pic:spPr bwMode="auto">
                    <a:xfrm>
                      <a:off x="0" y="0"/>
                      <a:ext cx="1927792" cy="1961318"/>
                    </a:xfrm>
                    <a:prstGeom prst="rect">
                      <a:avLst/>
                    </a:prstGeom>
                    <a:ln>
                      <a:noFill/>
                    </a:ln>
                    <a:extLst>
                      <a:ext uri="{53640926-AAD7-44D8-BBD7-CCE9431645EC}">
                        <a14:shadowObscured xmlns:a14="http://schemas.microsoft.com/office/drawing/2010/main"/>
                      </a:ext>
                    </a:extLst>
                  </pic:spPr>
                </pic:pic>
              </a:graphicData>
            </a:graphic>
          </wp:inline>
        </w:drawing>
      </w:r>
    </w:p>
    <w:p w:rsidR="0006447F" w:rsidRDefault="009F1B0E" w:rsidP="009F1B0E">
      <w:pPr>
        <w:jc w:val="both"/>
      </w:pPr>
      <w:r>
        <w:t>The resulting temperature distributions for each of the three cases predict the same SS temperature (within 1K) for the o-ring flange. Each model has locally higher temperatures in the beryllium where the energy is deposited but the copper temperature gradients are largely the same.</w:t>
      </w:r>
    </w:p>
    <w:p w:rsidR="009F1B0E" w:rsidRDefault="009F1B0E">
      <w:r>
        <w:rPr>
          <w:noProof/>
        </w:rPr>
        <w:drawing>
          <wp:inline distT="0" distB="0" distL="0" distR="0" wp14:anchorId="3CC856E0" wp14:editId="296F76B9">
            <wp:extent cx="1934832" cy="1987304"/>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7672" t="11734" r="17978" b="39602"/>
                    <a:stretch/>
                  </pic:blipFill>
                  <pic:spPr bwMode="auto">
                    <a:xfrm>
                      <a:off x="0" y="0"/>
                      <a:ext cx="1937699" cy="199024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B83C26" wp14:editId="6CE53B3F">
            <wp:extent cx="1981200" cy="1998812"/>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3820" t="11062" r="20064" b="38681"/>
                    <a:stretch/>
                  </pic:blipFill>
                  <pic:spPr bwMode="auto">
                    <a:xfrm>
                      <a:off x="0" y="0"/>
                      <a:ext cx="1985114" cy="200276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63E5D6" wp14:editId="069F5D3E">
            <wp:extent cx="1946673" cy="2000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1894" t="11283" r="23114" b="39123"/>
                    <a:stretch/>
                  </pic:blipFill>
                  <pic:spPr bwMode="auto">
                    <a:xfrm>
                      <a:off x="0" y="0"/>
                      <a:ext cx="1972122" cy="2026399"/>
                    </a:xfrm>
                    <a:prstGeom prst="rect">
                      <a:avLst/>
                    </a:prstGeom>
                    <a:ln>
                      <a:noFill/>
                    </a:ln>
                    <a:extLst>
                      <a:ext uri="{53640926-AAD7-44D8-BBD7-CCE9431645EC}">
                        <a14:shadowObscured xmlns:a14="http://schemas.microsoft.com/office/drawing/2010/main"/>
                      </a:ext>
                    </a:extLst>
                  </pic:spPr>
                </pic:pic>
              </a:graphicData>
            </a:graphic>
          </wp:inline>
        </w:drawing>
      </w:r>
    </w:p>
    <w:p w:rsidR="0006447F" w:rsidRDefault="009F1B0E" w:rsidP="009F1B0E">
      <w:pPr>
        <w:jc w:val="both"/>
      </w:pPr>
      <w:r>
        <w:t>These three models were exercised under two cooling scenarios over a range from one to one thousand watts of deposited power. The cooling scenarios considered were: (1) air-cooling of the exposed copper (free convection) and (2) air-cooling with the addition of a water cooling tube on the copper.</w:t>
      </w:r>
    </w:p>
    <w:p w:rsidR="0006447F" w:rsidRDefault="009F1B0E" w:rsidP="009F1B0E">
      <w:pPr>
        <w:jc w:val="both"/>
      </w:pPr>
      <w:r>
        <w:t>Results show that the</w:t>
      </w:r>
      <w:r w:rsidR="0006447F">
        <w:t xml:space="preserve"> magnitude of </w:t>
      </w:r>
      <w:r>
        <w:t>deposited energy is important, but the distribution of that energy has minimal impact on the SS thermal gradient in the copper.</w:t>
      </w:r>
    </w:p>
    <w:p w:rsidR="0006447F" w:rsidRDefault="009F1B0E" w:rsidP="009F1B0E">
      <w:pPr>
        <w:jc w:val="both"/>
      </w:pPr>
      <w:r>
        <w:lastRenderedPageBreak/>
        <w:t>The calculations to determine the convection coefficients to be used in the FEA models for the air cooling and water cooling scenarios are summarized in Appendix B. The resulting temperature (as a function of deposited power) is summarized in the graph below:</w:t>
      </w:r>
    </w:p>
    <w:p w:rsidR="0006447F" w:rsidRDefault="009F1B0E">
      <w:r>
        <w:rPr>
          <w:noProof/>
        </w:rPr>
        <w:drawing>
          <wp:inline distT="0" distB="0" distL="0" distR="0" wp14:anchorId="3F176852">
            <wp:extent cx="6448425" cy="4087046"/>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47220" cy="4086282"/>
                    </a:xfrm>
                    <a:prstGeom prst="rect">
                      <a:avLst/>
                    </a:prstGeom>
                    <a:noFill/>
                  </pic:spPr>
                </pic:pic>
              </a:graphicData>
            </a:graphic>
          </wp:inline>
        </w:drawing>
      </w:r>
    </w:p>
    <w:p w:rsidR="00951A94" w:rsidRPr="009F1B0E" w:rsidRDefault="009F1B0E">
      <w:pPr>
        <w:rPr>
          <w:b/>
          <w:sz w:val="28"/>
          <w:szCs w:val="28"/>
        </w:rPr>
      </w:pPr>
      <w:r>
        <w:rPr>
          <w:b/>
          <w:sz w:val="28"/>
          <w:szCs w:val="28"/>
        </w:rPr>
        <w:t>Results</w:t>
      </w:r>
    </w:p>
    <w:p w:rsidR="009F1B0E" w:rsidRDefault="009F1B0E">
      <w:r>
        <w:t>It is evident from the graph that with air cooling alone only limited levels of deposited power (less than 34W) will yield a SS flange temperature less than the desired maximum of 100C. By utilizing a water cooling coil (1/4” tube with 38C water at 0.5 GPM) the SS temperature of the flange is expected to be near 50C at the maximum expected power of 1000W.</w:t>
      </w:r>
      <w:bookmarkStart w:id="0" w:name="_GoBack"/>
      <w:bookmarkEnd w:id="0"/>
    </w:p>
    <w:p w:rsidR="00F15AD2" w:rsidRDefault="00F15AD2"/>
    <w:p w:rsidR="00442052" w:rsidRDefault="00442052"/>
    <w:sectPr w:rsidR="004420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052"/>
    <w:rsid w:val="0006447F"/>
    <w:rsid w:val="002B486D"/>
    <w:rsid w:val="00370F25"/>
    <w:rsid w:val="00442052"/>
    <w:rsid w:val="004C7E8B"/>
    <w:rsid w:val="004F581E"/>
    <w:rsid w:val="005642EB"/>
    <w:rsid w:val="006E41EA"/>
    <w:rsid w:val="00884532"/>
    <w:rsid w:val="00951A94"/>
    <w:rsid w:val="009F1B0E"/>
    <w:rsid w:val="00A07CF6"/>
    <w:rsid w:val="00B6322D"/>
    <w:rsid w:val="00BB5C1C"/>
    <w:rsid w:val="00BF7CF8"/>
    <w:rsid w:val="00F15AD2"/>
    <w:rsid w:val="00F22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7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C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7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C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jlabhome\home\josephm\Analyses\Mott%20Dump\From%20Marty\10_MeV_1um_Au.od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jlabhome\home\josephm\Analyses\Mott%20Dump\From%20Marty\10_MeV_1um_Au.od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300" b="0" i="0" u="none" strike="noStrike" kern="1200" baseline="0">
                <a:solidFill>
                  <a:srgbClr val="000000"/>
                </a:solidFill>
                <a:latin typeface="Calibri"/>
                <a:ea typeface=""/>
                <a:cs typeface=""/>
              </a:defRPr>
            </a:pPr>
            <a:r>
              <a:rPr lang="en-US" sz="1300" b="0" i="0" u="none" strike="noStrike" kern="1200" cap="none" spc="0" baseline="0">
                <a:solidFill>
                  <a:srgbClr val="000000"/>
                </a:solidFill>
                <a:uFillTx/>
                <a:latin typeface="+mn-lt"/>
                <a:ea typeface="+mn-ea"/>
                <a:cs typeface="+mn-cs"/>
              </a:rPr>
              <a:t>Energy Density /e-</a:t>
            </a:r>
          </a:p>
        </c:rich>
      </c:tx>
      <c:layout>
        <c:manualLayout>
          <c:xMode val="edge"/>
          <c:yMode val="edge"/>
          <c:x val="0.37906226815965843"/>
          <c:y val="3.5111140881342207E-2"/>
        </c:manualLayout>
      </c:layout>
      <c:overlay val="0"/>
      <c:spPr>
        <a:noFill/>
        <a:ln>
          <a:noFill/>
        </a:ln>
      </c:spPr>
    </c:title>
    <c:autoTitleDeleted val="0"/>
    <c:plotArea>
      <c:layout>
        <c:manualLayout>
          <c:xMode val="edge"/>
          <c:yMode val="edge"/>
          <c:x val="8.3187418061014776E-2"/>
          <c:y val="0.25755495925919869"/>
          <c:w val="0.8768123805368444"/>
          <c:h val="0.6134437699154871"/>
        </c:manualLayout>
      </c:layout>
      <c:lineChart>
        <c:grouping val="standard"/>
        <c:varyColors val="0"/>
        <c:ser>
          <c:idx val="0"/>
          <c:order val="0"/>
          <c:spPr>
            <a:ln w="28803">
              <a:solidFill>
                <a:srgbClr val="004586"/>
              </a:solidFill>
              <a:prstDash val="solid"/>
              <a:round/>
            </a:ln>
          </c:spPr>
          <c:marker>
            <c:symbol val="square"/>
            <c:size val="7"/>
          </c:marker>
          <c:val>
            <c:numRef>
              <c:f>Sheet1_2!$B$2:$B$21</c:f>
              <c:numCache>
                <c:formatCode>General</c:formatCode>
                <c:ptCount val="20"/>
                <c:pt idx="0">
                  <c:v>2.2086900000000001E-3</c:v>
                </c:pt>
                <c:pt idx="1">
                  <c:v>2.4762500000000002E-4</c:v>
                </c:pt>
                <c:pt idx="2" formatCode="0.00E+000">
                  <c:v>7.2128399999999999E-5</c:v>
                </c:pt>
                <c:pt idx="3" formatCode="0.00E+000">
                  <c:v>1.82393E-5</c:v>
                </c:pt>
                <c:pt idx="4" formatCode="0.00E+000">
                  <c:v>6.5210900000000003E-6</c:v>
                </c:pt>
                <c:pt idx="5" formatCode="0.00E+000">
                  <c:v>2.91776E-6</c:v>
                </c:pt>
                <c:pt idx="6" formatCode="0.00E+000">
                  <c:v>1.53234E-6</c:v>
                </c:pt>
                <c:pt idx="7" formatCode="0.00E+000">
                  <c:v>9.1449599999999999E-7</c:v>
                </c:pt>
                <c:pt idx="8" formatCode="0.00E+000">
                  <c:v>5.0826400000000003E-7</c:v>
                </c:pt>
                <c:pt idx="9" formatCode="0.00E+000">
                  <c:v>3.4027099999999999E-7</c:v>
                </c:pt>
                <c:pt idx="10" formatCode="0.00E+000">
                  <c:v>2.3911799999999998E-7</c:v>
                </c:pt>
                <c:pt idx="11" formatCode="0.00E+000">
                  <c:v>1.6206599999999999E-7</c:v>
                </c:pt>
                <c:pt idx="12" formatCode="0.00E+000">
                  <c:v>1.26524E-7</c:v>
                </c:pt>
                <c:pt idx="13" formatCode="0.00E+000">
                  <c:v>9.6274000000000006E-8</c:v>
                </c:pt>
                <c:pt idx="14" formatCode="0.00E+000">
                  <c:v>5.9996399999999998E-8</c:v>
                </c:pt>
                <c:pt idx="15" formatCode="0.00E+000">
                  <c:v>5.4873700000000003E-8</c:v>
                </c:pt>
                <c:pt idx="16" formatCode="0.00E+000">
                  <c:v>4.4717899999999998E-8</c:v>
                </c:pt>
                <c:pt idx="17" formatCode="0.00E+000">
                  <c:v>3.7693800000000002E-8</c:v>
                </c:pt>
                <c:pt idx="18" formatCode="0.00E+000">
                  <c:v>3.51692E-8</c:v>
                </c:pt>
                <c:pt idx="19" formatCode="0.00E+000">
                  <c:v>1.6582599999999999E-8</c:v>
                </c:pt>
              </c:numCache>
            </c:numRef>
          </c:val>
          <c:smooth val="0"/>
        </c:ser>
        <c:dLbls>
          <c:showLegendKey val="0"/>
          <c:showVal val="0"/>
          <c:showCatName val="0"/>
          <c:showSerName val="0"/>
          <c:showPercent val="0"/>
          <c:showBubbleSize val="0"/>
        </c:dLbls>
        <c:marker val="1"/>
        <c:smooth val="0"/>
        <c:axId val="233364864"/>
        <c:axId val="233362560"/>
      </c:lineChart>
      <c:valAx>
        <c:axId val="233362560"/>
        <c:scaling>
          <c:orientation val="minMax"/>
        </c:scaling>
        <c:delete val="0"/>
        <c:axPos val="l"/>
        <c:majorGridlines>
          <c:spPr>
            <a:ln w="9528">
              <a:solidFill>
                <a:srgbClr val="B3B3B3"/>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000000"/>
                    </a:solidFill>
                    <a:latin typeface="Calibri"/>
                    <a:ea typeface=""/>
                    <a:cs typeface=""/>
                  </a:defRPr>
                </a:pPr>
                <a:r>
                  <a:rPr lang="en-US" sz="900" b="0" i="0" u="none" strike="noStrike" kern="1200" cap="none" spc="0" baseline="0">
                    <a:solidFill>
                      <a:srgbClr val="000000"/>
                    </a:solidFill>
                    <a:uFillTx/>
                    <a:latin typeface="+mn-lt"/>
                    <a:ea typeface="+mn-ea"/>
                    <a:cs typeface="+mn-cs"/>
                  </a:rPr>
                  <a:t>MeV/mm^3</a:t>
                </a:r>
              </a:p>
            </c:rich>
          </c:tx>
          <c:layout>
            <c:manualLayout>
              <c:xMode val="edge"/>
              <c:yMode val="edge"/>
              <c:x val="2.8187271349972506E-2"/>
              <c:y val="0.6602219946925989"/>
            </c:manualLayout>
          </c:layout>
          <c:overlay val="0"/>
          <c:spPr>
            <a:noFill/>
            <a:ln>
              <a:noFill/>
            </a:ln>
          </c:spPr>
        </c:title>
        <c:numFmt formatCode="General" sourceLinked="1"/>
        <c:majorTickMark val="none"/>
        <c:minorTickMark val="none"/>
        <c:tickLblPos val="nextTo"/>
        <c:spPr>
          <a:noFill/>
          <a:ln w="9528">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crossAx val="233364864"/>
        <c:crosses val="autoZero"/>
        <c:crossBetween val="between"/>
      </c:valAx>
      <c:catAx>
        <c:axId val="233364864"/>
        <c:scaling>
          <c:orientation val="minMax"/>
        </c:scaling>
        <c:delete val="0"/>
        <c:axPos val="b"/>
        <c:title>
          <c:tx>
            <c:rich>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000000"/>
                    </a:solidFill>
                    <a:latin typeface="Calibri"/>
                    <a:ea typeface=""/>
                    <a:cs typeface=""/>
                  </a:defRPr>
                </a:pPr>
                <a:r>
                  <a:rPr lang="en-US" sz="900" b="0" i="0" u="none" strike="noStrike" kern="1200" cap="none" spc="0" baseline="0">
                    <a:solidFill>
                      <a:srgbClr val="000000"/>
                    </a:solidFill>
                    <a:uFillTx/>
                    <a:latin typeface="+mn-lt"/>
                    <a:ea typeface="+mn-ea"/>
                    <a:cs typeface="+mn-cs"/>
                  </a:rPr>
                  <a:t>Outer Radius (x 5.08 mm)</a:t>
                </a:r>
              </a:p>
            </c:rich>
          </c:tx>
          <c:layout>
            <c:manualLayout>
              <c:xMode val="edge"/>
              <c:yMode val="edge"/>
              <c:x val="0.40306245844995703"/>
              <c:y val="0.89100010587638634"/>
            </c:manualLayout>
          </c:layout>
          <c:overlay val="0"/>
          <c:spPr>
            <a:noFill/>
            <a:ln>
              <a:noFill/>
            </a:ln>
          </c:spPr>
        </c:title>
        <c:majorTickMark val="none"/>
        <c:minorTickMark val="none"/>
        <c:tickLblPos val="nextTo"/>
        <c:spPr>
          <a:noFill/>
          <a:ln w="9528">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crossAx val="233362560"/>
        <c:crosses val="autoZero"/>
        <c:auto val="1"/>
        <c:lblAlgn val="ctr"/>
        <c:lblOffset val="100"/>
        <c:noMultiLvlLbl val="0"/>
      </c:catAx>
      <c:spPr>
        <a:noFill/>
        <a:ln w="9528">
          <a:solidFill>
            <a:srgbClr val="B3B3B3"/>
          </a:solidFill>
          <a:prstDash val="solid"/>
          <a:round/>
        </a:ln>
      </c:spPr>
    </c:plotArea>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ea typeface=""/>
          <a:cs typeface=""/>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300" b="0" i="0" u="none" strike="noStrike" kern="1200" baseline="0">
                <a:solidFill>
                  <a:srgbClr val="000000"/>
                </a:solidFill>
                <a:latin typeface="Calibri"/>
                <a:ea typeface=""/>
                <a:cs typeface=""/>
              </a:defRPr>
            </a:pPr>
            <a:r>
              <a:rPr lang="en-US" sz="1300" b="0" i="0" u="none" strike="noStrike" kern="1200" cap="none" spc="0" baseline="0">
                <a:solidFill>
                  <a:srgbClr val="000000"/>
                </a:solidFill>
                <a:uFillTx/>
                <a:latin typeface="+mn-lt"/>
                <a:ea typeface="+mn-ea"/>
                <a:cs typeface="+mn-cs"/>
              </a:rPr>
              <a:t>Energy Density / e-</a:t>
            </a:r>
          </a:p>
        </c:rich>
      </c:tx>
      <c:layout>
        <c:manualLayout>
          <c:xMode val="edge"/>
          <c:yMode val="edge"/>
          <c:x val="0.37493734396759787"/>
          <c:y val="3.5111140881342207E-2"/>
        </c:manualLayout>
      </c:layout>
      <c:overlay val="0"/>
      <c:spPr>
        <a:noFill/>
        <a:ln>
          <a:noFill/>
        </a:ln>
      </c:spPr>
    </c:title>
    <c:autoTitleDeleted val="0"/>
    <c:plotArea>
      <c:layout>
        <c:manualLayout>
          <c:xMode val="edge"/>
          <c:yMode val="edge"/>
          <c:x val="8.3187418061014776E-2"/>
          <c:y val="0.25755495925919869"/>
          <c:w val="0.8768123805368444"/>
          <c:h val="0.6134437699154871"/>
        </c:manualLayout>
      </c:layout>
      <c:lineChart>
        <c:grouping val="standard"/>
        <c:varyColors val="0"/>
        <c:ser>
          <c:idx val="0"/>
          <c:order val="0"/>
          <c:spPr>
            <a:ln w="28803">
              <a:solidFill>
                <a:srgbClr val="004586"/>
              </a:solidFill>
              <a:prstDash val="solid"/>
              <a:round/>
            </a:ln>
          </c:spPr>
          <c:marker>
            <c:symbol val="square"/>
            <c:size val="7"/>
          </c:marker>
          <c:val>
            <c:numRef>
              <c:f>Sheet1_2!$B$2:$G$2</c:f>
              <c:numCache>
                <c:formatCode>General</c:formatCode>
                <c:ptCount val="6"/>
                <c:pt idx="0">
                  <c:v>2.2086900000000001E-3</c:v>
                </c:pt>
                <c:pt idx="1">
                  <c:v>2.2442899999999999E-3</c:v>
                </c:pt>
                <c:pt idx="2">
                  <c:v>2.2769999999999999E-3</c:v>
                </c:pt>
                <c:pt idx="3">
                  <c:v>2.3131100000000002E-3</c:v>
                </c:pt>
                <c:pt idx="4">
                  <c:v>2.3612799999999999E-3</c:v>
                </c:pt>
                <c:pt idx="5">
                  <c:v>2.4561299999999999E-3</c:v>
                </c:pt>
              </c:numCache>
            </c:numRef>
          </c:val>
          <c:smooth val="0"/>
        </c:ser>
        <c:dLbls>
          <c:showLegendKey val="0"/>
          <c:showVal val="0"/>
          <c:showCatName val="0"/>
          <c:showSerName val="0"/>
          <c:showPercent val="0"/>
          <c:showBubbleSize val="0"/>
        </c:dLbls>
        <c:marker val="1"/>
        <c:smooth val="0"/>
        <c:axId val="236309504"/>
        <c:axId val="233449728"/>
      </c:lineChart>
      <c:valAx>
        <c:axId val="233449728"/>
        <c:scaling>
          <c:orientation val="minMax"/>
        </c:scaling>
        <c:delete val="0"/>
        <c:axPos val="l"/>
        <c:majorGridlines>
          <c:spPr>
            <a:ln w="9528">
              <a:solidFill>
                <a:srgbClr val="B3B3B3"/>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000000"/>
                    </a:solidFill>
                    <a:latin typeface="Calibri"/>
                    <a:ea typeface=""/>
                    <a:cs typeface=""/>
                  </a:defRPr>
                </a:pPr>
                <a:r>
                  <a:rPr lang="en-US" sz="900" b="0" i="0" u="none" strike="noStrike" kern="1200" cap="none" spc="0" baseline="0">
                    <a:solidFill>
                      <a:srgbClr val="000000"/>
                    </a:solidFill>
                    <a:uFillTx/>
                    <a:latin typeface="+mn-lt"/>
                    <a:ea typeface="+mn-ea"/>
                    <a:cs typeface="+mn-cs"/>
                  </a:rPr>
                  <a:t>MeV/mm^3</a:t>
                </a:r>
              </a:p>
            </c:rich>
          </c:tx>
          <c:layout>
            <c:manualLayout>
              <c:xMode val="edge"/>
              <c:yMode val="edge"/>
              <c:x val="2.8187271349972506E-2"/>
              <c:y val="0.6602219946925989"/>
            </c:manualLayout>
          </c:layout>
          <c:overlay val="0"/>
          <c:spPr>
            <a:noFill/>
            <a:ln>
              <a:noFill/>
            </a:ln>
          </c:spPr>
        </c:title>
        <c:numFmt formatCode="General" sourceLinked="1"/>
        <c:majorTickMark val="none"/>
        <c:minorTickMark val="none"/>
        <c:tickLblPos val="nextTo"/>
        <c:spPr>
          <a:noFill/>
          <a:ln w="9528">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crossAx val="236309504"/>
        <c:crosses val="autoZero"/>
        <c:crossBetween val="between"/>
      </c:valAx>
      <c:catAx>
        <c:axId val="236309504"/>
        <c:scaling>
          <c:orientation val="minMax"/>
        </c:scaling>
        <c:delete val="0"/>
        <c:axPos val="b"/>
        <c:title>
          <c:tx>
            <c:rich>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000000"/>
                    </a:solidFill>
                    <a:latin typeface="Calibri"/>
                    <a:ea typeface=""/>
                    <a:cs typeface=""/>
                  </a:defRPr>
                </a:pPr>
                <a:r>
                  <a:rPr lang="en-US" sz="900" b="0" i="0" u="none" strike="noStrike" kern="1200" cap="none" spc="0" baseline="0">
                    <a:solidFill>
                      <a:srgbClr val="000000"/>
                    </a:solidFill>
                    <a:uFillTx/>
                    <a:latin typeface="+mn-lt"/>
                    <a:ea typeface="+mn-ea"/>
                    <a:cs typeface="+mn-cs"/>
                  </a:rPr>
                  <a:t>Depth (x 1.058 mm)</a:t>
                </a:r>
              </a:p>
            </c:rich>
          </c:tx>
          <c:layout>
            <c:manualLayout>
              <c:xMode val="edge"/>
              <c:yMode val="edge"/>
              <c:x val="0.42949978826731827"/>
              <c:y val="0.89100010587638634"/>
            </c:manualLayout>
          </c:layout>
          <c:overlay val="0"/>
          <c:spPr>
            <a:noFill/>
            <a:ln>
              <a:noFill/>
            </a:ln>
          </c:spPr>
        </c:title>
        <c:majorTickMark val="none"/>
        <c:minorTickMark val="none"/>
        <c:tickLblPos val="nextTo"/>
        <c:spPr>
          <a:noFill/>
          <a:ln w="9528">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crossAx val="233449728"/>
        <c:crosses val="autoZero"/>
        <c:auto val="1"/>
        <c:lblAlgn val="ctr"/>
        <c:lblOffset val="100"/>
        <c:noMultiLvlLbl val="0"/>
      </c:catAx>
      <c:spPr>
        <a:noFill/>
        <a:ln w="9528">
          <a:solidFill>
            <a:srgbClr val="B3B3B3"/>
          </a:solidFill>
          <a:prstDash val="solid"/>
          <a:round/>
        </a:ln>
      </c:spPr>
    </c:plotArea>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ea typeface=""/>
          <a:cs typeface=""/>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0.85927</cdr:x>
      <cdr:y>0.92356</cdr:y>
    </cdr:from>
    <cdr:to>
      <cdr:x>1</cdr:x>
      <cdr:y>1</cdr:y>
    </cdr:to>
    <cdr:sp macro="" textlink="">
      <cdr:nvSpPr>
        <cdr:cNvPr id="2" name="TextBox 1"/>
        <cdr:cNvSpPr txBox="1"/>
      </cdr:nvSpPr>
      <cdr:spPr>
        <a:xfrm xmlns:a="http://schemas.openxmlformats.org/drawingml/2006/main">
          <a:off x="4949081" y="2991977"/>
          <a:ext cx="810541"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Marty</a:t>
          </a:r>
          <a:r>
            <a:rPr lang="en-US" sz="800" baseline="0"/>
            <a:t> McHugh</a:t>
          </a:r>
          <a:endParaRPr lang="en-US" sz="800"/>
        </a:p>
      </cdr:txBody>
    </cdr:sp>
  </cdr:relSizeAnchor>
</c:userShapes>
</file>

<file path=word/drawings/drawing2.xml><?xml version="1.0" encoding="utf-8"?>
<c:userShapes xmlns:c="http://schemas.openxmlformats.org/drawingml/2006/chart">
  <cdr:relSizeAnchor xmlns:cdr="http://schemas.openxmlformats.org/drawingml/2006/chartDrawing">
    <cdr:from>
      <cdr:x>0.85152</cdr:x>
      <cdr:y>0.93184</cdr:y>
    </cdr:from>
    <cdr:to>
      <cdr:x>1</cdr:x>
      <cdr:y>1</cdr:y>
    </cdr:to>
    <cdr:sp macro="" textlink="">
      <cdr:nvSpPr>
        <cdr:cNvPr id="2" name="TextBox 1"/>
        <cdr:cNvSpPr txBox="1"/>
      </cdr:nvSpPr>
      <cdr:spPr>
        <a:xfrm xmlns:a="http://schemas.openxmlformats.org/drawingml/2006/main">
          <a:off x="4904428" y="3018829"/>
          <a:ext cx="855194" cy="2207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Marty McHugh</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368</TotalTime>
  <Pages>5</Pages>
  <Words>657</Words>
  <Characters>3745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Jefferson Lab</Company>
  <LinksUpToDate>false</LinksUpToDate>
  <CharactersWithSpaces>4394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josephm</dc:creator>
  <cp:lastModifiedBy>josephm</cp:lastModifiedBy>
  <cp:revision>5</cp:revision>
  <dcterms:created xsi:type="dcterms:W3CDTF">2014-02-13T21:01:00Z</dcterms:created>
  <dcterms:modified xsi:type="dcterms:W3CDTF">2014-02-21T21:29:00Z</dcterms:modified>
</cp:coreProperties>
</file>