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D9" w:rsidRPr="00CA4CC3" w:rsidRDefault="00424DD9" w:rsidP="00CE1B05">
      <w:pPr>
        <w:pStyle w:val="NoSpacing"/>
        <w:rPr>
          <w:vertAlign w:val="subscript"/>
        </w:rPr>
      </w:pPr>
      <w:bookmarkStart w:id="0" w:name="_GoBack"/>
      <w:bookmarkEnd w:id="0"/>
    </w:p>
    <w:p w:rsidR="00104D30" w:rsidRPr="00104D30" w:rsidRDefault="00CD0789" w:rsidP="00424DD9">
      <w:pPr>
        <w:pStyle w:val="NoSpacing"/>
        <w:jc w:val="center"/>
        <w:rPr>
          <w:b/>
          <w:sz w:val="32"/>
        </w:rPr>
      </w:pPr>
      <w:r w:rsidRPr="00104D30">
        <w:rPr>
          <w:b/>
          <w:sz w:val="32"/>
        </w:rPr>
        <w:t xml:space="preserve">Transverse </w:t>
      </w:r>
      <w:r w:rsidR="00980921" w:rsidRPr="00104D30">
        <w:rPr>
          <w:b/>
          <w:sz w:val="32"/>
        </w:rPr>
        <w:t xml:space="preserve">Beam Characterization in the </w:t>
      </w:r>
      <w:r w:rsidRPr="00104D30">
        <w:rPr>
          <w:b/>
          <w:sz w:val="32"/>
        </w:rPr>
        <w:t>CEBAF</w:t>
      </w:r>
    </w:p>
    <w:p w:rsidR="00A124AA" w:rsidRPr="00104D30" w:rsidRDefault="00CD0789" w:rsidP="00424DD9">
      <w:pPr>
        <w:pStyle w:val="NoSpacing"/>
        <w:jc w:val="center"/>
        <w:rPr>
          <w:b/>
          <w:sz w:val="32"/>
        </w:rPr>
      </w:pPr>
      <w:r w:rsidRPr="00104D30">
        <w:rPr>
          <w:b/>
          <w:sz w:val="32"/>
        </w:rPr>
        <w:t xml:space="preserve"> 5 MeV </w:t>
      </w:r>
      <w:proofErr w:type="gramStart"/>
      <w:r w:rsidRPr="00104D30">
        <w:rPr>
          <w:b/>
          <w:sz w:val="32"/>
        </w:rPr>
        <w:t>Region</w:t>
      </w:r>
      <w:proofErr w:type="gramEnd"/>
    </w:p>
    <w:p w:rsidR="00913501" w:rsidRPr="00D168CB" w:rsidRDefault="00913501" w:rsidP="003F4E72"/>
    <w:p w:rsidR="00913501" w:rsidRPr="00D168CB" w:rsidRDefault="00913501" w:rsidP="00FE01DA">
      <w:pPr>
        <w:jc w:val="center"/>
        <w:rPr>
          <w:i/>
        </w:rPr>
      </w:pPr>
      <w:r w:rsidRPr="00D168CB">
        <w:rPr>
          <w:i/>
        </w:rPr>
        <w:t>C. Tennant</w:t>
      </w:r>
      <w:r w:rsidR="00CD0789">
        <w:rPr>
          <w:i/>
        </w:rPr>
        <w:t>, J. Grames, R. Sulei</w:t>
      </w:r>
      <w:r w:rsidR="000B2E3D">
        <w:rPr>
          <w:i/>
        </w:rPr>
        <w:t>man, D. Turner</w:t>
      </w:r>
    </w:p>
    <w:p w:rsidR="006677C2" w:rsidRPr="00D168CB" w:rsidRDefault="006677C2" w:rsidP="00C60B0F">
      <w:pPr>
        <w:rPr>
          <w:b/>
          <w:sz w:val="28"/>
          <w:szCs w:val="28"/>
        </w:rPr>
      </w:pPr>
    </w:p>
    <w:p w:rsidR="00913501" w:rsidRPr="00D168CB" w:rsidRDefault="00913501" w:rsidP="00C60B0F">
      <w:pPr>
        <w:rPr>
          <w:b/>
          <w:sz w:val="28"/>
          <w:szCs w:val="28"/>
        </w:rPr>
      </w:pPr>
      <w:r w:rsidRPr="00D168CB">
        <w:rPr>
          <w:b/>
          <w:sz w:val="28"/>
          <w:szCs w:val="28"/>
        </w:rPr>
        <w:t>Abstract</w:t>
      </w:r>
    </w:p>
    <w:p w:rsidR="00C60B0F" w:rsidRPr="00D168CB" w:rsidRDefault="00C60B0F" w:rsidP="00C60B0F"/>
    <w:p w:rsidR="003B4A41" w:rsidRPr="00D168CB" w:rsidRDefault="008F6A8A" w:rsidP="008F6A8A">
      <w:pPr>
        <w:ind w:firstLine="360"/>
        <w:jc w:val="both"/>
        <w:rPr>
          <w:sz w:val="20"/>
        </w:rPr>
      </w:pPr>
      <w:r w:rsidRPr="00D168CB">
        <w:rPr>
          <w:sz w:val="20"/>
        </w:rPr>
        <w:t xml:space="preserve">In this note we report the results of </w:t>
      </w:r>
      <w:r w:rsidR="009803E7">
        <w:rPr>
          <w:sz w:val="20"/>
        </w:rPr>
        <w:t xml:space="preserve">quadrupole scan measurements in the 5 MeV </w:t>
      </w:r>
      <w:proofErr w:type="gramStart"/>
      <w:r w:rsidR="009803E7">
        <w:rPr>
          <w:sz w:val="20"/>
        </w:rPr>
        <w:t>region</w:t>
      </w:r>
      <w:proofErr w:type="gramEnd"/>
      <w:r w:rsidR="009803E7">
        <w:rPr>
          <w:sz w:val="20"/>
        </w:rPr>
        <w:t xml:space="preserve"> of CEBAF. Using quadrupole 0L02 and the harp at 0L03 we simultaneously scanned both transverse planes. </w:t>
      </w:r>
      <w:r w:rsidR="00BD4ADC">
        <w:rPr>
          <w:sz w:val="20"/>
        </w:rPr>
        <w:t>Beam sizes were extracted using several methods - the most robust using an asymmetric Gaussian fit</w:t>
      </w:r>
      <w:r w:rsidR="009803E7">
        <w:rPr>
          <w:sz w:val="20"/>
        </w:rPr>
        <w:t>. Beam Twiss parameters and emittances</w:t>
      </w:r>
      <w:r w:rsidR="00BD4ADC">
        <w:rPr>
          <w:sz w:val="20"/>
        </w:rPr>
        <w:t xml:space="preserve"> we</w:t>
      </w:r>
      <w:r w:rsidR="009803E7">
        <w:rPr>
          <w:sz w:val="20"/>
        </w:rPr>
        <w:t>re calculated</w:t>
      </w:r>
      <w:r w:rsidR="006C2235">
        <w:rPr>
          <w:sz w:val="20"/>
        </w:rPr>
        <w:t xml:space="preserve"> which, in turn,</w:t>
      </w:r>
      <w:r w:rsidR="009803E7">
        <w:rPr>
          <w:sz w:val="20"/>
        </w:rPr>
        <w:t xml:space="preserve"> </w:t>
      </w:r>
      <w:r w:rsidR="003D2642">
        <w:rPr>
          <w:sz w:val="20"/>
        </w:rPr>
        <w:t>allowed</w:t>
      </w:r>
      <w:r w:rsidR="00B97C9A">
        <w:rPr>
          <w:sz w:val="20"/>
        </w:rPr>
        <w:t xml:space="preserve"> us</w:t>
      </w:r>
      <w:r w:rsidR="006C2235">
        <w:rPr>
          <w:sz w:val="20"/>
        </w:rPr>
        <w:t xml:space="preserve"> to estimate </w:t>
      </w:r>
      <w:r w:rsidR="009803E7">
        <w:rPr>
          <w:sz w:val="20"/>
        </w:rPr>
        <w:t>the beam parameters at the entr</w:t>
      </w:r>
      <w:r w:rsidR="00F05DD6">
        <w:rPr>
          <w:sz w:val="20"/>
        </w:rPr>
        <w:t>ance to the quarter cry</w:t>
      </w:r>
      <w:r w:rsidR="006C2235">
        <w:rPr>
          <w:sz w:val="20"/>
        </w:rPr>
        <w:t>ounit</w:t>
      </w:r>
      <w:r w:rsidR="00B97C9A">
        <w:rPr>
          <w:sz w:val="20"/>
        </w:rPr>
        <w:t xml:space="preserve"> (500 keV region)</w:t>
      </w:r>
      <w:r w:rsidR="00F05DD6">
        <w:rPr>
          <w:sz w:val="20"/>
        </w:rPr>
        <w:t>.</w:t>
      </w:r>
    </w:p>
    <w:p w:rsidR="00C60B0F" w:rsidRPr="00D168CB" w:rsidRDefault="00C60B0F" w:rsidP="003F4E72"/>
    <w:p w:rsidR="008B75BA" w:rsidRPr="00D168CB" w:rsidRDefault="008B75BA" w:rsidP="003F4E72">
      <w:pPr>
        <w:rPr>
          <w:b/>
          <w:sz w:val="28"/>
          <w:szCs w:val="28"/>
        </w:rPr>
      </w:pPr>
      <w:r w:rsidRPr="00D168CB">
        <w:rPr>
          <w:b/>
          <w:sz w:val="28"/>
          <w:szCs w:val="28"/>
        </w:rPr>
        <w:t>Introduction</w:t>
      </w:r>
    </w:p>
    <w:p w:rsidR="008B75BA" w:rsidRDefault="008B75BA" w:rsidP="003F4E72"/>
    <w:p w:rsidR="00520327" w:rsidRPr="00D168CB" w:rsidRDefault="003D2642" w:rsidP="00CC5747">
      <w:pPr>
        <w:ind w:firstLine="360"/>
        <w:jc w:val="both"/>
      </w:pPr>
      <w:r>
        <w:t xml:space="preserve">Having a good understanding of the beam dynamics in the 5 MeV </w:t>
      </w:r>
      <w:proofErr w:type="gramStart"/>
      <w:r>
        <w:t>region</w:t>
      </w:r>
      <w:proofErr w:type="gramEnd"/>
      <w:r>
        <w:t xml:space="preserve"> – from the exit of the captur</w:t>
      </w:r>
      <w:r w:rsidR="002004E7">
        <w:t>e to the entrance of cryomodule</w:t>
      </w:r>
      <w:r>
        <w:t xml:space="preserve"> 0L03 – is vitally important. </w:t>
      </w:r>
      <w:r w:rsidR="006822C4">
        <w:t xml:space="preserve">The cryounit </w:t>
      </w:r>
      <w:r w:rsidR="004557B0">
        <w:t>marks the hand off of</w:t>
      </w:r>
      <w:r w:rsidR="00CC5747">
        <w:t xml:space="preserve"> the low energy</w:t>
      </w:r>
      <w:r w:rsidR="006822C4">
        <w:t xml:space="preserve"> beamline</w:t>
      </w:r>
      <w:r w:rsidR="00CC5747">
        <w:t>,</w:t>
      </w:r>
      <w:r w:rsidR="006822C4">
        <w:t xml:space="preserve"> owned and modeled by the injector group using </w:t>
      </w:r>
      <w:r w:rsidR="006822C4" w:rsidRPr="003554C0">
        <w:t xml:space="preserve">space charge codes </w:t>
      </w:r>
      <w:r w:rsidR="004557B0" w:rsidRPr="003554C0">
        <w:t xml:space="preserve">to </w:t>
      </w:r>
      <w:r w:rsidR="006822C4" w:rsidRPr="003554C0">
        <w:t xml:space="preserve">the relativistic, </w:t>
      </w:r>
      <w:r w:rsidR="006822C4" w:rsidRPr="003554C0">
        <w:rPr>
          <w:i/>
        </w:rPr>
        <w:t>elegant</w:t>
      </w:r>
      <w:r w:rsidR="006822C4" w:rsidRPr="003554C0">
        <w:t>-driven [</w:t>
      </w:r>
      <w:r w:rsidR="004C2C6C" w:rsidRPr="003554C0">
        <w:t>1</w:t>
      </w:r>
      <w:r w:rsidR="006822C4" w:rsidRPr="003554C0">
        <w:t xml:space="preserve">] modeling </w:t>
      </w:r>
      <w:r w:rsidR="002D165D" w:rsidRPr="003554C0">
        <w:t xml:space="preserve">done </w:t>
      </w:r>
      <w:r w:rsidR="006822C4" w:rsidRPr="003554C0">
        <w:t>in CASA.</w:t>
      </w:r>
      <w:r w:rsidR="002D165D" w:rsidRPr="003554C0">
        <w:t xml:space="preserve"> Additionally, the </w:t>
      </w:r>
      <w:r w:rsidR="00852566" w:rsidRPr="003554C0">
        <w:t xml:space="preserve">5D line in this </w:t>
      </w:r>
      <w:r w:rsidR="002D165D" w:rsidRPr="003554C0">
        <w:t xml:space="preserve">region </w:t>
      </w:r>
      <w:r w:rsidR="00D034E1" w:rsidRPr="003554C0">
        <w:t>successfully supported the</w:t>
      </w:r>
      <w:r w:rsidR="002D165D" w:rsidRPr="003554C0">
        <w:t xml:space="preserve"> Polarized Electrons for Polarized Positrons (PEPPo) experiment [</w:t>
      </w:r>
      <w:r w:rsidR="004C2C6C" w:rsidRPr="003554C0">
        <w:t>2</w:t>
      </w:r>
      <w:r w:rsidR="002D165D" w:rsidRPr="003554C0">
        <w:t>] and will support a Bubble Chamber experiment [</w:t>
      </w:r>
      <w:r w:rsidR="004C2C6C" w:rsidRPr="003554C0">
        <w:t>3</w:t>
      </w:r>
      <w:r w:rsidR="002D165D" w:rsidRPr="003554C0">
        <w:t>]</w:t>
      </w:r>
      <w:r w:rsidR="00CC5747" w:rsidRPr="003554C0">
        <w:t xml:space="preserve"> in the near futur</w:t>
      </w:r>
      <w:r w:rsidR="002004E7" w:rsidRPr="003554C0">
        <w:t>e; both of which require knowledge of</w:t>
      </w:r>
      <w:r w:rsidR="00292918" w:rsidRPr="003554C0">
        <w:t xml:space="preserve"> the beam properties</w:t>
      </w:r>
      <w:r w:rsidR="00CC5747" w:rsidRPr="003554C0">
        <w:t>.</w:t>
      </w:r>
    </w:p>
    <w:p w:rsidR="00F27AFE" w:rsidRDefault="00F27AFE" w:rsidP="00CC5747">
      <w:pPr>
        <w:jc w:val="both"/>
        <w:rPr>
          <w:szCs w:val="28"/>
        </w:rPr>
      </w:pPr>
    </w:p>
    <w:p w:rsidR="00F27AFE" w:rsidRPr="00F27AFE" w:rsidRDefault="00F27AFE" w:rsidP="00F27A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F27AFE">
        <w:rPr>
          <w:b/>
          <w:sz w:val="28"/>
          <w:szCs w:val="28"/>
        </w:rPr>
        <w:t>easurement</w:t>
      </w:r>
    </w:p>
    <w:p w:rsidR="00290650" w:rsidRDefault="00290650" w:rsidP="00290650">
      <w:pPr>
        <w:ind w:firstLine="360"/>
        <w:jc w:val="both"/>
        <w:rPr>
          <w:szCs w:val="28"/>
        </w:rPr>
      </w:pPr>
    </w:p>
    <w:p w:rsidR="00F27AFE" w:rsidRDefault="00E81413" w:rsidP="004F3AFD">
      <w:pPr>
        <w:ind w:firstLine="360"/>
        <w:jc w:val="both"/>
        <w:rPr>
          <w:szCs w:val="28"/>
        </w:rPr>
      </w:pPr>
      <w:r>
        <w:rPr>
          <w:szCs w:val="28"/>
        </w:rPr>
        <w:t xml:space="preserve">A schematic of a portion of the 5 MeV </w:t>
      </w:r>
      <w:proofErr w:type="gramStart"/>
      <w:r>
        <w:rPr>
          <w:szCs w:val="28"/>
        </w:rPr>
        <w:t>region</w:t>
      </w:r>
      <w:proofErr w:type="gramEnd"/>
      <w:r>
        <w:rPr>
          <w:szCs w:val="28"/>
        </w:rPr>
        <w:t xml:space="preserve"> is depicted in Figure </w:t>
      </w:r>
      <w:r w:rsidR="001241C1">
        <w:rPr>
          <w:szCs w:val="28"/>
        </w:rPr>
        <w:t>1</w:t>
      </w:r>
      <w:r>
        <w:rPr>
          <w:szCs w:val="28"/>
        </w:rPr>
        <w:t xml:space="preserve">. With a harp at 0L03 it remains to find what upstream quadrupole is best suited for scanning. The quadrupoles at 0L03 and 0L03A are too close to the </w:t>
      </w:r>
      <w:r w:rsidR="00E154C9">
        <w:rPr>
          <w:szCs w:val="28"/>
        </w:rPr>
        <w:t>harp. Using quadrupole MQJ</w:t>
      </w:r>
      <w:r>
        <w:rPr>
          <w:szCs w:val="28"/>
        </w:rPr>
        <w:t xml:space="preserve">0L02, with downstream quadrupoles turned </w:t>
      </w:r>
      <w:proofErr w:type="gramStart"/>
      <w:r>
        <w:rPr>
          <w:szCs w:val="28"/>
        </w:rPr>
        <w:t>off,</w:t>
      </w:r>
      <w:proofErr w:type="gramEnd"/>
      <w:r>
        <w:rPr>
          <w:szCs w:val="28"/>
        </w:rPr>
        <w:t xml:space="preserve"> was simulated to have the best performance. In </w:t>
      </w:r>
      <w:proofErr w:type="gramStart"/>
      <w:r>
        <w:rPr>
          <w:szCs w:val="28"/>
        </w:rPr>
        <w:t>the</w:t>
      </w:r>
      <w:proofErr w:type="gramEnd"/>
      <w:r>
        <w:rPr>
          <w:szCs w:val="28"/>
        </w:rPr>
        <w:t xml:space="preserve"> end this</w:t>
      </w:r>
      <w:r w:rsidR="00435C33">
        <w:rPr>
          <w:szCs w:val="28"/>
        </w:rPr>
        <w:t xml:space="preserve"> amounts to a simple quad-drift scan with a drift length of </w:t>
      </w:r>
      <w:r w:rsidR="00435C33" w:rsidRPr="00435C33">
        <w:rPr>
          <w:szCs w:val="28"/>
        </w:rPr>
        <w:t>6.629806</w:t>
      </w:r>
      <w:r w:rsidR="00435C33">
        <w:rPr>
          <w:szCs w:val="28"/>
        </w:rPr>
        <w:t xml:space="preserve"> m fr</w:t>
      </w:r>
      <w:r>
        <w:rPr>
          <w:szCs w:val="28"/>
        </w:rPr>
        <w:t xml:space="preserve">om the exit of 0L02 to the </w:t>
      </w:r>
      <w:r w:rsidR="00435C33">
        <w:rPr>
          <w:szCs w:val="28"/>
        </w:rPr>
        <w:t xml:space="preserve">harp (IHA0L03). </w:t>
      </w:r>
      <w:r>
        <w:rPr>
          <w:szCs w:val="28"/>
        </w:rPr>
        <w:t xml:space="preserve">Furthermore, </w:t>
      </w:r>
      <w:r w:rsidR="00435C33">
        <w:rPr>
          <w:szCs w:val="28"/>
        </w:rPr>
        <w:t xml:space="preserve">both planes </w:t>
      </w:r>
      <w:r w:rsidR="000C4353">
        <w:rPr>
          <w:szCs w:val="28"/>
        </w:rPr>
        <w:t xml:space="preserve">can be scanned </w:t>
      </w:r>
      <w:r w:rsidR="00435C33">
        <w:rPr>
          <w:szCs w:val="28"/>
        </w:rPr>
        <w:t>simultaneously and the beam size is large enough so that wire thic</w:t>
      </w:r>
      <w:r w:rsidR="005D6FF6">
        <w:rPr>
          <w:szCs w:val="28"/>
        </w:rPr>
        <w:t xml:space="preserve">kness (25 </w:t>
      </w:r>
      <w:r w:rsidR="00104D30" w:rsidRPr="00104D30">
        <w:rPr>
          <w:rFonts w:ascii="Symbol" w:hAnsi="Symbol"/>
          <w:szCs w:val="28"/>
        </w:rPr>
        <w:t></w:t>
      </w:r>
      <w:r w:rsidR="005D6FF6">
        <w:rPr>
          <w:szCs w:val="28"/>
        </w:rPr>
        <w:t xml:space="preserve">m) has a negligible </w:t>
      </w:r>
      <w:r w:rsidR="005D6FF6" w:rsidRPr="003554C0">
        <w:rPr>
          <w:szCs w:val="28"/>
        </w:rPr>
        <w:t>e</w:t>
      </w:r>
      <w:r w:rsidR="00435C33" w:rsidRPr="003554C0">
        <w:rPr>
          <w:szCs w:val="28"/>
        </w:rPr>
        <w:t>ffect</w:t>
      </w:r>
      <w:r w:rsidRPr="003554C0">
        <w:rPr>
          <w:szCs w:val="28"/>
        </w:rPr>
        <w:t xml:space="preserve"> </w:t>
      </w:r>
      <w:r w:rsidR="004C2C6C" w:rsidRPr="003554C0">
        <w:rPr>
          <w:szCs w:val="28"/>
        </w:rPr>
        <w:t>[4</w:t>
      </w:r>
      <w:r w:rsidRPr="003554C0">
        <w:rPr>
          <w:szCs w:val="28"/>
        </w:rPr>
        <w:t>]</w:t>
      </w:r>
      <w:r w:rsidR="00435C33" w:rsidRPr="003554C0">
        <w:rPr>
          <w:szCs w:val="28"/>
        </w:rPr>
        <w:t>.</w:t>
      </w:r>
    </w:p>
    <w:p w:rsidR="00CC0C47" w:rsidRDefault="00CC0C47" w:rsidP="004F3AFD">
      <w:pPr>
        <w:ind w:firstLine="360"/>
        <w:jc w:val="both"/>
        <w:rPr>
          <w:szCs w:val="28"/>
        </w:rPr>
      </w:pPr>
    </w:p>
    <w:p w:rsidR="00CC0C47" w:rsidRDefault="00CC0C47" w:rsidP="004F3AFD">
      <w:pPr>
        <w:ind w:firstLine="360"/>
        <w:jc w:val="both"/>
        <w:rPr>
          <w:szCs w:val="28"/>
        </w:rPr>
      </w:pPr>
      <w:r>
        <w:rPr>
          <w:szCs w:val="28"/>
        </w:rPr>
        <w:t xml:space="preserve">Opportunistic measurements were made on February 19, 2014 before the start of Mott studies. Consequently the beam momentum was 5.487 MeV/c rather than the standard 6.3 MeV/c. The quadrupole was scanned from 5.5 to </w:t>
      </w:r>
      <w:r w:rsidRPr="00CC0C47">
        <w:rPr>
          <w:rFonts w:ascii="Symbol" w:hAnsi="Symbol"/>
          <w:szCs w:val="28"/>
        </w:rPr>
        <w:t></w:t>
      </w:r>
      <w:r>
        <w:rPr>
          <w:szCs w:val="28"/>
        </w:rPr>
        <w:t>3.5 m</w:t>
      </w:r>
      <w:r w:rsidRPr="00CC0C47">
        <w:rPr>
          <w:szCs w:val="28"/>
          <w:vertAlign w:val="superscript"/>
        </w:rPr>
        <w:t>-2</w:t>
      </w:r>
      <w:r>
        <w:rPr>
          <w:szCs w:val="28"/>
        </w:rPr>
        <w:t xml:space="preserve"> in steps of 1 m</w:t>
      </w:r>
      <w:r w:rsidRPr="00CC0C47">
        <w:rPr>
          <w:szCs w:val="28"/>
          <w:vertAlign w:val="superscript"/>
        </w:rPr>
        <w:t>-2</w:t>
      </w:r>
      <w:r>
        <w:rPr>
          <w:szCs w:val="28"/>
        </w:rPr>
        <w:t>.</w:t>
      </w:r>
    </w:p>
    <w:p w:rsidR="00BD796C" w:rsidRDefault="00BD796C" w:rsidP="00F27AFE">
      <w:pPr>
        <w:jc w:val="both"/>
        <w:rPr>
          <w:szCs w:val="28"/>
        </w:rPr>
      </w:pPr>
    </w:p>
    <w:p w:rsidR="00F27AFE" w:rsidRDefault="00F27AFE" w:rsidP="00F27AFE">
      <w:pPr>
        <w:jc w:val="both"/>
      </w:pPr>
      <w:r>
        <w:rPr>
          <w:noProof/>
        </w:rPr>
        <w:lastRenderedPageBreak/>
        <w:drawing>
          <wp:inline distT="0" distB="0" distL="0" distR="0" wp14:anchorId="5085588B" wp14:editId="26A2BB77">
            <wp:extent cx="5486400" cy="2689148"/>
            <wp:effectExtent l="0" t="0" r="0" b="0"/>
            <wp:docPr id="1" name="Picture 1" descr="C:\Users\tennant\Desktop\IHA0L03_2014-02-19_16_35\Inj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nnant\Desktop\IHA0L03_2014-02-19_16_35\Inject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8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AFE" w:rsidRPr="00693CED" w:rsidRDefault="00F27AFE" w:rsidP="00F27AFE">
      <w:pPr>
        <w:jc w:val="both"/>
        <w:rPr>
          <w:sz w:val="16"/>
        </w:rPr>
      </w:pPr>
    </w:p>
    <w:p w:rsidR="00F27AFE" w:rsidRPr="00693CED" w:rsidRDefault="00F27AFE" w:rsidP="000B1EFB">
      <w:pPr>
        <w:ind w:left="720" w:right="720"/>
        <w:jc w:val="both"/>
        <w:rPr>
          <w:sz w:val="20"/>
        </w:rPr>
      </w:pPr>
      <w:r w:rsidRPr="00693CED">
        <w:rPr>
          <w:sz w:val="20"/>
        </w:rPr>
        <w:t>Figure</w:t>
      </w:r>
      <w:r w:rsidR="004F3AFD">
        <w:rPr>
          <w:sz w:val="20"/>
        </w:rPr>
        <w:t xml:space="preserve"> </w:t>
      </w:r>
      <w:r w:rsidR="001241C1">
        <w:rPr>
          <w:sz w:val="20"/>
        </w:rPr>
        <w:t>1</w:t>
      </w:r>
      <w:r w:rsidR="000B1EFB">
        <w:rPr>
          <w:sz w:val="20"/>
        </w:rPr>
        <w:t>: Schematic of the 5 MeV region showing the location of the scanning quadrupole (MQJ0L02) and harp (IHA0L03).</w:t>
      </w:r>
    </w:p>
    <w:p w:rsidR="00F27AFE" w:rsidRPr="00290650" w:rsidRDefault="00F27AFE" w:rsidP="00F27AFE">
      <w:pPr>
        <w:jc w:val="both"/>
        <w:rPr>
          <w:szCs w:val="28"/>
        </w:rPr>
      </w:pPr>
    </w:p>
    <w:p w:rsidR="00F27AFE" w:rsidRDefault="00F27AFE" w:rsidP="00383C03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Extracting Beam Sizes</w:t>
      </w:r>
    </w:p>
    <w:p w:rsidR="00F27AFE" w:rsidRDefault="00F27AFE" w:rsidP="00383C03">
      <w:pPr>
        <w:rPr>
          <w:szCs w:val="28"/>
        </w:rPr>
      </w:pPr>
    </w:p>
    <w:p w:rsidR="00AA21E0" w:rsidRDefault="00662BDF" w:rsidP="00662BDF">
      <w:pPr>
        <w:ind w:firstLine="360"/>
        <w:jc w:val="both"/>
        <w:rPr>
          <w:szCs w:val="28"/>
        </w:rPr>
      </w:pPr>
      <w:r>
        <w:rPr>
          <w:szCs w:val="28"/>
        </w:rPr>
        <w:t xml:space="preserve">We computed beam sizes using three different methods; the Harp Analyzer tool, using a Gaussian </w:t>
      </w:r>
      <w:r w:rsidR="009C6CC3">
        <w:rPr>
          <w:szCs w:val="28"/>
        </w:rPr>
        <w:t>distribution t</w:t>
      </w:r>
      <w:r>
        <w:rPr>
          <w:szCs w:val="28"/>
        </w:rPr>
        <w:t xml:space="preserve">o fit the profiles and using an asymmetric Gaussian </w:t>
      </w:r>
      <w:r w:rsidR="009C6CC3">
        <w:rPr>
          <w:szCs w:val="28"/>
        </w:rPr>
        <w:t xml:space="preserve">distribution </w:t>
      </w:r>
      <w:r>
        <w:rPr>
          <w:szCs w:val="28"/>
        </w:rPr>
        <w:t>for the fits. Each is described briefly.</w:t>
      </w:r>
    </w:p>
    <w:p w:rsidR="00AA21E0" w:rsidRPr="00F27AFE" w:rsidRDefault="00AA21E0" w:rsidP="00383C03">
      <w:pPr>
        <w:rPr>
          <w:szCs w:val="28"/>
        </w:rPr>
      </w:pPr>
    </w:p>
    <w:p w:rsidR="00F27AFE" w:rsidRPr="00AD35C4" w:rsidRDefault="00F27AFE" w:rsidP="00F27AFE">
      <w:pPr>
        <w:rPr>
          <w:i/>
          <w:sz w:val="22"/>
          <w:szCs w:val="28"/>
        </w:rPr>
      </w:pPr>
      <w:r w:rsidRPr="00AD35C4">
        <w:rPr>
          <w:i/>
          <w:szCs w:val="28"/>
        </w:rPr>
        <w:t>Harp Analyzer</w:t>
      </w:r>
      <w:r w:rsidR="00243FAD">
        <w:rPr>
          <w:i/>
          <w:szCs w:val="28"/>
        </w:rPr>
        <w:t xml:space="preserve"> Tool</w:t>
      </w:r>
    </w:p>
    <w:p w:rsidR="00AA21E0" w:rsidRPr="00662BDF" w:rsidRDefault="00AA21E0" w:rsidP="00221E60">
      <w:pPr>
        <w:ind w:firstLine="360"/>
        <w:jc w:val="both"/>
        <w:rPr>
          <w:sz w:val="12"/>
          <w:szCs w:val="28"/>
        </w:rPr>
      </w:pPr>
    </w:p>
    <w:p w:rsidR="00F27AFE" w:rsidRPr="00F92DE5" w:rsidRDefault="00E63286" w:rsidP="00221E60">
      <w:pPr>
        <w:ind w:firstLine="360"/>
        <w:jc w:val="both"/>
        <w:rPr>
          <w:szCs w:val="28"/>
        </w:rPr>
      </w:pPr>
      <w:r>
        <w:rPr>
          <w:szCs w:val="28"/>
        </w:rPr>
        <w:t>When the three profiles (for a 3-wire harp) are well separated and Gaussian, t</w:t>
      </w:r>
      <w:r w:rsidR="00302967">
        <w:rPr>
          <w:szCs w:val="28"/>
        </w:rPr>
        <w:t xml:space="preserve">he Harp Analyzer tool </w:t>
      </w:r>
      <w:r>
        <w:rPr>
          <w:szCs w:val="28"/>
        </w:rPr>
        <w:t xml:space="preserve">does a good job of fitting and computing the beam size. </w:t>
      </w:r>
      <w:r w:rsidR="00662BDF">
        <w:rPr>
          <w:szCs w:val="28"/>
        </w:rPr>
        <w:t xml:space="preserve">There are, however, </w:t>
      </w:r>
      <w:r>
        <w:rPr>
          <w:szCs w:val="28"/>
        </w:rPr>
        <w:t xml:space="preserve">instances when it inexplicably does not fit them (see Fig. </w:t>
      </w:r>
      <w:r w:rsidR="001241C1">
        <w:rPr>
          <w:szCs w:val="28"/>
        </w:rPr>
        <w:t>2</w:t>
      </w:r>
      <w:r>
        <w:rPr>
          <w:szCs w:val="28"/>
        </w:rPr>
        <w:t>).</w:t>
      </w:r>
      <w:r w:rsidR="00221E60">
        <w:rPr>
          <w:szCs w:val="28"/>
        </w:rPr>
        <w:t xml:space="preserve"> Consequently, we did a more careful analysis off-line.</w:t>
      </w:r>
    </w:p>
    <w:p w:rsidR="00F92DE5" w:rsidRPr="00F92DE5" w:rsidRDefault="00F92DE5" w:rsidP="00F27AFE">
      <w:pPr>
        <w:rPr>
          <w:szCs w:val="28"/>
        </w:rPr>
      </w:pPr>
    </w:p>
    <w:p w:rsidR="00F92DE5" w:rsidRDefault="00F92DE5" w:rsidP="00F92DE5">
      <w:pPr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 wp14:anchorId="3F520563" wp14:editId="48A571D1">
            <wp:extent cx="4114800" cy="3156155"/>
            <wp:effectExtent l="0" t="0" r="0" b="6350"/>
            <wp:docPr id="2" name="Picture 2" descr="C:\Users\tennant\Desktop\IHA0L03_2014-02-19_16_35\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nnant\Desktop\IHA0L03_2014-02-19_16_35\scree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E5" w:rsidRPr="00290650" w:rsidRDefault="00F92DE5" w:rsidP="00F92DE5">
      <w:pPr>
        <w:jc w:val="center"/>
        <w:rPr>
          <w:sz w:val="16"/>
        </w:rPr>
      </w:pPr>
    </w:p>
    <w:p w:rsidR="00F92DE5" w:rsidRPr="00D168CB" w:rsidRDefault="00F92DE5" w:rsidP="00F92DE5">
      <w:pPr>
        <w:ind w:left="720" w:right="720"/>
        <w:jc w:val="both"/>
        <w:rPr>
          <w:szCs w:val="28"/>
        </w:rPr>
      </w:pPr>
      <w:r w:rsidRPr="00290650">
        <w:rPr>
          <w:sz w:val="20"/>
        </w:rPr>
        <w:t xml:space="preserve">Figure </w:t>
      </w:r>
      <w:r w:rsidR="001241C1">
        <w:rPr>
          <w:sz w:val="20"/>
        </w:rPr>
        <w:t>2</w:t>
      </w:r>
      <w:r w:rsidRPr="00290650">
        <w:rPr>
          <w:sz w:val="20"/>
        </w:rPr>
        <w:t>:</w:t>
      </w:r>
      <w:r>
        <w:rPr>
          <w:sz w:val="20"/>
        </w:rPr>
        <w:t xml:space="preserve"> Screen shot from Harp Analyzer </w:t>
      </w:r>
      <w:r w:rsidR="00C1467B">
        <w:rPr>
          <w:sz w:val="20"/>
        </w:rPr>
        <w:t>showing an example scan for which fits were not computed</w:t>
      </w:r>
      <w:r>
        <w:rPr>
          <w:sz w:val="20"/>
        </w:rPr>
        <w:t>:</w:t>
      </w:r>
      <w:r w:rsidRPr="00290650">
        <w:rPr>
          <w:sz w:val="20"/>
          <w:szCs w:val="20"/>
        </w:rPr>
        <w:t xml:space="preserve"> </w:t>
      </w:r>
      <w:r w:rsidRPr="00923017">
        <w:rPr>
          <w:i/>
          <w:sz w:val="20"/>
          <w:szCs w:val="20"/>
        </w:rPr>
        <w:t>“ERROR: Did not find enough peaks, IHA0L03 has 3 wires”.</w:t>
      </w:r>
    </w:p>
    <w:p w:rsidR="00F92DE5" w:rsidRPr="00F92DE5" w:rsidRDefault="00F92DE5" w:rsidP="00F27AFE">
      <w:pPr>
        <w:rPr>
          <w:szCs w:val="28"/>
        </w:rPr>
      </w:pPr>
    </w:p>
    <w:p w:rsidR="00F27AFE" w:rsidRDefault="00F27AFE" w:rsidP="00F27AFE">
      <w:pPr>
        <w:rPr>
          <w:i/>
          <w:szCs w:val="28"/>
        </w:rPr>
      </w:pPr>
      <w:r w:rsidRPr="00AD35C4">
        <w:rPr>
          <w:i/>
          <w:szCs w:val="28"/>
        </w:rPr>
        <w:t>Gaussian</w:t>
      </w:r>
    </w:p>
    <w:p w:rsidR="00302967" w:rsidRPr="00302967" w:rsidRDefault="00302967" w:rsidP="00F27AFE">
      <w:pPr>
        <w:rPr>
          <w:szCs w:val="28"/>
        </w:rPr>
      </w:pPr>
    </w:p>
    <w:p w:rsidR="00302967" w:rsidRPr="00302967" w:rsidRDefault="003D2642" w:rsidP="009F6797">
      <w:pPr>
        <w:ind w:firstLine="360"/>
        <w:jc w:val="both"/>
        <w:rPr>
          <w:szCs w:val="28"/>
        </w:rPr>
      </w:pPr>
      <w:r>
        <w:rPr>
          <w:szCs w:val="28"/>
        </w:rPr>
        <w:t>Due to the close p</w:t>
      </w:r>
      <w:r w:rsidR="00CE1B05">
        <w:rPr>
          <w:szCs w:val="28"/>
        </w:rPr>
        <w:t xml:space="preserve">roximity of the peaks during some of the scans, </w:t>
      </w:r>
      <w:r w:rsidR="009F6797">
        <w:rPr>
          <w:szCs w:val="28"/>
        </w:rPr>
        <w:t>fits were constrained to user-defined regions.</w:t>
      </w:r>
      <w:r w:rsidR="009A4BB6">
        <w:rPr>
          <w:szCs w:val="28"/>
        </w:rPr>
        <w:t xml:space="preserve"> This allowed us to fit peaks which the Harp Analyzer could not.</w:t>
      </w:r>
    </w:p>
    <w:p w:rsidR="00F27AFE" w:rsidRPr="00302967" w:rsidRDefault="00F27AFE" w:rsidP="00383C03">
      <w:pPr>
        <w:rPr>
          <w:szCs w:val="28"/>
        </w:rPr>
      </w:pPr>
    </w:p>
    <w:p w:rsidR="000E26EF" w:rsidRPr="00AD35C4" w:rsidRDefault="000E26EF" w:rsidP="00383C03">
      <w:pPr>
        <w:rPr>
          <w:i/>
          <w:szCs w:val="28"/>
        </w:rPr>
      </w:pPr>
      <w:r w:rsidRPr="00AD35C4">
        <w:rPr>
          <w:i/>
          <w:szCs w:val="28"/>
        </w:rPr>
        <w:t>Asymmetric Gaussian</w:t>
      </w:r>
    </w:p>
    <w:p w:rsidR="00243551" w:rsidRPr="007A6B3C" w:rsidRDefault="00243551" w:rsidP="00264B39">
      <w:pPr>
        <w:rPr>
          <w:sz w:val="8"/>
          <w:szCs w:val="28"/>
        </w:rPr>
      </w:pPr>
    </w:p>
    <w:p w:rsidR="00BD796C" w:rsidRDefault="00BD796C" w:rsidP="00BD796C">
      <w:pPr>
        <w:ind w:firstLine="360"/>
        <w:jc w:val="both"/>
      </w:pPr>
      <w:r>
        <w:t xml:space="preserve">During an emittance measurement when the Harp Analyzer tool displays the fits to the peaks (assuming it can fit them), they generally look quite good. However, </w:t>
      </w:r>
      <w:r w:rsidR="00A07E6D">
        <w:t>when</w:t>
      </w:r>
      <w:r w:rsidR="007E24CF">
        <w:t xml:space="preserve"> analyzing the</w:t>
      </w:r>
      <w:r>
        <w:t xml:space="preserve"> data off-line it was quite evident that the horizontal profile, in particular, was an asymmetric G</w:t>
      </w:r>
      <w:r w:rsidR="007E24CF">
        <w:t>aussian. To better fit the data</w:t>
      </w:r>
      <w:r>
        <w:t xml:space="preserve"> we followed the </w:t>
      </w:r>
      <w:r w:rsidRPr="003554C0">
        <w:t>procedure in Ref. [</w:t>
      </w:r>
      <w:r w:rsidR="004C2C6C" w:rsidRPr="003554C0">
        <w:t>5</w:t>
      </w:r>
      <w:r w:rsidRPr="003554C0">
        <w:t>].</w:t>
      </w:r>
      <w:r>
        <w:t xml:space="preserve"> That is</w:t>
      </w:r>
      <w:r w:rsidR="003D2642">
        <w:t>,</w:t>
      </w:r>
      <w:r>
        <w:t xml:space="preserve"> rather than a Gaussian fit of the form</w:t>
      </w:r>
    </w:p>
    <w:p w:rsidR="00F6411D" w:rsidRPr="00755430" w:rsidRDefault="00F6411D" w:rsidP="00C46831">
      <w:pPr>
        <w:jc w:val="both"/>
        <w:rPr>
          <w:sz w:val="20"/>
        </w:rPr>
      </w:pPr>
    </w:p>
    <w:p w:rsidR="00F6411D" w:rsidRDefault="00F6411D" w:rsidP="00BD796C">
      <w:pPr>
        <w:jc w:val="right"/>
      </w:pPr>
      <m:oMath>
        <m:r>
          <w:rPr>
            <w:rFonts w:ascii="Cambria Math" w:hAnsi="Cambria Math"/>
          </w:rPr>
          <m:t>A+B∙g(x-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)</m:t>
        </m:r>
      </m:oMath>
      <w:r w:rsidR="00BD796C">
        <w:t xml:space="preserve">                                                      (1)</w:t>
      </w:r>
    </w:p>
    <w:p w:rsidR="00BD796C" w:rsidRPr="00755430" w:rsidRDefault="00BD796C" w:rsidP="00BD796C">
      <w:pPr>
        <w:jc w:val="both"/>
        <w:rPr>
          <w:sz w:val="20"/>
        </w:rPr>
      </w:pPr>
    </w:p>
    <w:p w:rsidR="00F6411D" w:rsidRDefault="00BD796C" w:rsidP="00BD796C">
      <w:pPr>
        <w:jc w:val="both"/>
      </w:pPr>
      <w:proofErr w:type="gramStart"/>
      <w:r>
        <w:t>where</w:t>
      </w:r>
      <w:proofErr w:type="gramEnd"/>
    </w:p>
    <w:p w:rsidR="00BD796C" w:rsidRPr="00755430" w:rsidRDefault="00BD796C" w:rsidP="00BD796C">
      <w:pPr>
        <w:jc w:val="both"/>
        <w:rPr>
          <w:sz w:val="20"/>
        </w:rPr>
      </w:pPr>
    </w:p>
    <w:p w:rsidR="00F6411D" w:rsidRPr="00BD796C" w:rsidRDefault="00F6411D" w:rsidP="00BD796C">
      <w:pPr>
        <w:jc w:val="right"/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2π</m:t>
                </m:r>
              </m:e>
            </m:rad>
            <m:r>
              <w:rPr>
                <w:rFonts w:ascii="Cambria Math" w:hAnsi="Cambria Math"/>
              </w:rPr>
              <m:t>σ</m:t>
            </m:r>
          </m:den>
        </m:f>
        <m:r>
          <m:rPr>
            <m:nor/>
          </m:rPr>
          <w:rPr>
            <w:rFonts w:ascii="Cambria Math" w:hAnsi="Cambria Math"/>
          </w:rPr>
          <m:t>exp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</m:oMath>
      <w:r w:rsidR="00BD796C">
        <w:t xml:space="preserve">                                                  (2)</w:t>
      </w:r>
    </w:p>
    <w:p w:rsidR="00BD796C" w:rsidRPr="00755430" w:rsidRDefault="00BD796C" w:rsidP="00BD796C">
      <w:pPr>
        <w:jc w:val="both"/>
        <w:rPr>
          <w:sz w:val="20"/>
        </w:rPr>
      </w:pPr>
    </w:p>
    <w:p w:rsidR="00F6411D" w:rsidRDefault="00BD796C" w:rsidP="00BD796C">
      <w:pPr>
        <w:jc w:val="both"/>
      </w:pPr>
      <w:proofErr w:type="gramStart"/>
      <w:r>
        <w:t>we</w:t>
      </w:r>
      <w:proofErr w:type="gramEnd"/>
      <w:r>
        <w:t xml:space="preserve"> include an additional fitting parameter, </w:t>
      </w:r>
      <w:r w:rsidRPr="00BD796C">
        <w:rPr>
          <w:i/>
        </w:rPr>
        <w:t>E</w:t>
      </w:r>
      <w:r>
        <w:t xml:space="preserve">, </w:t>
      </w:r>
    </w:p>
    <w:p w:rsidR="00DA1579" w:rsidRPr="00755430" w:rsidRDefault="00DA1579" w:rsidP="00755430">
      <w:pPr>
        <w:jc w:val="both"/>
        <w:rPr>
          <w:sz w:val="20"/>
        </w:rPr>
      </w:pPr>
    </w:p>
    <w:p w:rsidR="00DA1579" w:rsidRPr="00F6411D" w:rsidRDefault="00DA1579" w:rsidP="00BD796C">
      <w:pPr>
        <w:jc w:val="right"/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2π</m:t>
                </m:r>
              </m:e>
            </m:rad>
            <m:r>
              <w:rPr>
                <w:rFonts w:ascii="Cambria Math" w:hAnsi="Cambria Math"/>
              </w:rPr>
              <m:t>σ</m:t>
            </m:r>
          </m:den>
        </m:f>
        <m:r>
          <m:rPr>
            <m:nor/>
          </m:rPr>
          <w:rPr>
            <w:rFonts w:ascii="Cambria Math" w:hAnsi="Cambria Math"/>
          </w:rPr>
          <m:t>exp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</w:rPr>
                              <m:t>sign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∙E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</m:oMath>
      <w:r w:rsidR="00BD796C">
        <w:t xml:space="preserve">                                          (3)</w:t>
      </w:r>
    </w:p>
    <w:p w:rsidR="00F6411D" w:rsidRPr="00755430" w:rsidRDefault="00F6411D" w:rsidP="00DA1579">
      <w:pPr>
        <w:jc w:val="both"/>
        <w:rPr>
          <w:sz w:val="20"/>
        </w:rPr>
      </w:pPr>
    </w:p>
    <w:p w:rsidR="00CA4CC3" w:rsidRDefault="00E154C9" w:rsidP="00DA1579">
      <w:pPr>
        <w:jc w:val="both"/>
      </w:pPr>
      <w:r>
        <w:t>This is like fitting a left and right half of a Gaussian to the distribution with</w:t>
      </w:r>
    </w:p>
    <w:p w:rsidR="00E154C9" w:rsidRDefault="00E154C9" w:rsidP="00DA1579">
      <w:pPr>
        <w:jc w:val="both"/>
      </w:pPr>
      <w:r>
        <w:lastRenderedPageBreak/>
        <w:t xml:space="preserve"> </w:t>
      </w:r>
    </w:p>
    <w:p w:rsidR="00E154C9" w:rsidRDefault="00E154C9" w:rsidP="00E154C9">
      <w:pPr>
        <w:jc w:val="right"/>
      </w:pPr>
      <m:oMath>
        <m:r>
          <w:rPr>
            <w:rFonts w:ascii="Cambria Math" w:hAnsi="Cambria Math"/>
          </w:rPr>
          <m:t>σ=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</w:t>
      </w:r>
      <w:proofErr w:type="gramStart"/>
      <w:r>
        <w:t>and</w:t>
      </w:r>
      <w:proofErr w:type="gramEnd"/>
      <w:r>
        <w:t xml:space="preserve">  </w:t>
      </w:r>
      <m:oMath>
        <m:r>
          <w:rPr>
            <w:rFonts w:ascii="Cambria Math" w:hAnsi="Cambria Math"/>
          </w:rPr>
          <m:t>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</m:den>
        </m:f>
      </m:oMath>
      <w:r>
        <w:t xml:space="preserve">                                                  (4)</w:t>
      </w:r>
    </w:p>
    <w:p w:rsidR="00E154C9" w:rsidRPr="00CA4CC3" w:rsidRDefault="00E154C9" w:rsidP="00DA1579">
      <w:pPr>
        <w:jc w:val="both"/>
        <w:rPr>
          <w:sz w:val="20"/>
        </w:rPr>
      </w:pPr>
    </w:p>
    <w:p w:rsidR="00755430" w:rsidRDefault="00755430" w:rsidP="00DA1579">
      <w:pPr>
        <w:jc w:val="both"/>
      </w:pPr>
      <w:r>
        <w:t>From the fit it is straightforward to compute the rms width as</w:t>
      </w:r>
    </w:p>
    <w:p w:rsidR="00755430" w:rsidRPr="00755430" w:rsidRDefault="00755430" w:rsidP="00DA1579">
      <w:pPr>
        <w:jc w:val="both"/>
        <w:rPr>
          <w:sz w:val="20"/>
        </w:rPr>
      </w:pPr>
    </w:p>
    <w:p w:rsidR="00F6411D" w:rsidRDefault="00F6411D" w:rsidP="00755430">
      <w:pPr>
        <w:jc w:val="right"/>
      </w:pPr>
      <m:oMath>
        <m:r>
          <w:rPr>
            <w:rFonts w:ascii="Cambria Math" w:hAnsi="Cambria Math"/>
          </w:rPr>
          <m:t>rms=σ∙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π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755430">
        <w:t xml:space="preserve">                 </w:t>
      </w:r>
      <w:r w:rsidR="00E154C9">
        <w:t xml:space="preserve">                              (5</w:t>
      </w:r>
      <w:r w:rsidR="00755430">
        <w:t>)</w:t>
      </w:r>
    </w:p>
    <w:p w:rsidR="00F6411D" w:rsidRPr="007E24CF" w:rsidRDefault="00F6411D" w:rsidP="00DA1579">
      <w:pPr>
        <w:jc w:val="both"/>
        <w:rPr>
          <w:sz w:val="20"/>
        </w:rPr>
      </w:pPr>
    </w:p>
    <w:p w:rsidR="00755430" w:rsidRDefault="00755430" w:rsidP="00755430">
      <w:pPr>
        <w:ind w:firstLine="360"/>
        <w:jc w:val="both"/>
      </w:pPr>
      <w:r>
        <w:t xml:space="preserve">An </w:t>
      </w:r>
      <w:r w:rsidR="00AA2CBD">
        <w:t xml:space="preserve">example of how </w:t>
      </w:r>
      <w:r>
        <w:t xml:space="preserve">an asymmetric compares to a normal (symmetric) Gaussian is shown in Fig. </w:t>
      </w:r>
      <w:r w:rsidR="001241C1">
        <w:t>3</w:t>
      </w:r>
      <w:r>
        <w:t>.</w:t>
      </w:r>
      <w:r w:rsidR="00B45F27">
        <w:t xml:space="preserve"> If profiles do exhibit asymmetry, using a Gaussian fit will </w:t>
      </w:r>
      <w:r w:rsidR="009C6CC3">
        <w:t xml:space="preserve">consistently </w:t>
      </w:r>
      <w:r w:rsidR="00B45F27">
        <w:t xml:space="preserve">underestimate the beam size. </w:t>
      </w:r>
      <w:r w:rsidR="00AA2CBD">
        <w:t>(</w:t>
      </w:r>
      <w:r>
        <w:t>A complete list of the extracted beam sizes is given in Appendix A</w:t>
      </w:r>
      <w:r w:rsidR="00AA2CBD">
        <w:t>)</w:t>
      </w:r>
      <w:r>
        <w:t>.</w:t>
      </w:r>
    </w:p>
    <w:p w:rsidR="00090578" w:rsidRDefault="00090578" w:rsidP="00DA1579">
      <w:pPr>
        <w:jc w:val="both"/>
      </w:pPr>
    </w:p>
    <w:p w:rsidR="00090578" w:rsidRDefault="00090578" w:rsidP="001253E2">
      <w:pPr>
        <w:jc w:val="center"/>
      </w:pPr>
      <w:r>
        <w:rPr>
          <w:noProof/>
        </w:rPr>
        <w:drawing>
          <wp:inline distT="0" distB="0" distL="0" distR="0">
            <wp:extent cx="5029200" cy="3107598"/>
            <wp:effectExtent l="0" t="0" r="0" b="0"/>
            <wp:docPr id="3" name="Picture 3" descr="C:\Users\tennant\Desktop\IHA0L03_2014-02-19_16_35\comp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nnant\Desktop\IHA0L03_2014-02-19_16_35\compa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10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578" w:rsidRPr="00693CED" w:rsidRDefault="00090578" w:rsidP="00DA1579">
      <w:pPr>
        <w:jc w:val="both"/>
        <w:rPr>
          <w:sz w:val="16"/>
        </w:rPr>
      </w:pPr>
    </w:p>
    <w:p w:rsidR="00CD5571" w:rsidRPr="00693CED" w:rsidRDefault="00693CED" w:rsidP="00693CED">
      <w:pPr>
        <w:ind w:left="720" w:right="720"/>
        <w:jc w:val="both"/>
        <w:rPr>
          <w:sz w:val="20"/>
        </w:rPr>
      </w:pPr>
      <w:r w:rsidRPr="00693CED">
        <w:rPr>
          <w:sz w:val="20"/>
        </w:rPr>
        <w:t xml:space="preserve">Figure </w:t>
      </w:r>
      <w:r w:rsidR="001241C1">
        <w:rPr>
          <w:sz w:val="20"/>
        </w:rPr>
        <w:t>3</w:t>
      </w:r>
      <w:r w:rsidRPr="00693CED">
        <w:rPr>
          <w:sz w:val="20"/>
        </w:rPr>
        <w:t xml:space="preserve">: </w:t>
      </w:r>
      <w:r w:rsidR="00C46831">
        <w:rPr>
          <w:sz w:val="20"/>
        </w:rPr>
        <w:t xml:space="preserve">Example of a measured </w:t>
      </w:r>
      <w:r w:rsidR="00B351DE">
        <w:rPr>
          <w:sz w:val="20"/>
        </w:rPr>
        <w:t>horizontal beam profile with Gaussian (black) and asymmetric Gaussian (blue) fit</w:t>
      </w:r>
      <w:r w:rsidR="00C46831">
        <w:rPr>
          <w:sz w:val="20"/>
        </w:rPr>
        <w:t>s</w:t>
      </w:r>
      <w:r w:rsidR="00B351DE">
        <w:rPr>
          <w:sz w:val="20"/>
        </w:rPr>
        <w:t>.</w:t>
      </w:r>
      <w:r w:rsidR="00755430">
        <w:rPr>
          <w:sz w:val="20"/>
        </w:rPr>
        <w:t xml:space="preserve"> </w:t>
      </w:r>
    </w:p>
    <w:p w:rsidR="00F32630" w:rsidRPr="00D168CB" w:rsidRDefault="00F32630" w:rsidP="00FE01DA">
      <w:pPr>
        <w:jc w:val="both"/>
      </w:pPr>
    </w:p>
    <w:p w:rsidR="00290650" w:rsidRPr="00F92DE5" w:rsidRDefault="00F92DE5" w:rsidP="00F92DE5">
      <w:pPr>
        <w:rPr>
          <w:b/>
          <w:sz w:val="28"/>
        </w:rPr>
      </w:pPr>
      <w:r w:rsidRPr="00F92DE5">
        <w:rPr>
          <w:b/>
          <w:sz w:val="28"/>
        </w:rPr>
        <w:t>Analysis</w:t>
      </w:r>
      <w:r>
        <w:rPr>
          <w:b/>
          <w:sz w:val="28"/>
        </w:rPr>
        <w:t xml:space="preserve"> and Results</w:t>
      </w:r>
    </w:p>
    <w:p w:rsidR="00CF4DF7" w:rsidRDefault="00CF4DF7" w:rsidP="00FE01DA">
      <w:pPr>
        <w:jc w:val="both"/>
      </w:pPr>
    </w:p>
    <w:p w:rsidR="00CF4DF7" w:rsidRDefault="00CF4DF7" w:rsidP="00A4695A">
      <w:pPr>
        <w:ind w:firstLine="360"/>
        <w:jc w:val="both"/>
      </w:pPr>
      <w:r>
        <w:t xml:space="preserve">With beam sizes </w:t>
      </w:r>
      <w:r w:rsidR="009C6CC3">
        <w:t>extract</w:t>
      </w:r>
      <w:r w:rsidR="00B0310B">
        <w:t>e</w:t>
      </w:r>
      <w:r w:rsidR="009C6CC3">
        <w:t>d</w:t>
      </w:r>
      <w:r>
        <w:t>, we start</w:t>
      </w:r>
      <w:r w:rsidR="00342E10">
        <w:t>ed</w:t>
      </w:r>
      <w:r>
        <w:t xml:space="preserve"> fitting the</w:t>
      </w:r>
      <w:r w:rsidR="009C6CC3">
        <w:t xml:space="preserve"> data to compute</w:t>
      </w:r>
      <w:r>
        <w:t xml:space="preserve"> Twiss parameters and emittances. The analysis was performed with a custom p</w:t>
      </w:r>
      <w:r w:rsidRPr="003554C0">
        <w:t xml:space="preserve">rogram written in Igor Pro </w:t>
      </w:r>
      <w:r w:rsidR="009C6CC3" w:rsidRPr="003554C0">
        <w:t xml:space="preserve">(initially </w:t>
      </w:r>
      <w:r w:rsidRPr="003554C0">
        <w:t>to analyze harp scans from the CEBAF-ER experiment [</w:t>
      </w:r>
      <w:r w:rsidR="004C2C6C" w:rsidRPr="003554C0">
        <w:t>6</w:t>
      </w:r>
      <w:r w:rsidRPr="003554C0">
        <w:t>]</w:t>
      </w:r>
      <w:r w:rsidR="009C6CC3" w:rsidRPr="003554C0">
        <w:t>)</w:t>
      </w:r>
      <w:r w:rsidRPr="003554C0">
        <w:t xml:space="preserve">, a FORTRAN program used in the early days of CEBAF </w:t>
      </w:r>
      <w:r w:rsidR="00171C37" w:rsidRPr="003554C0">
        <w:t>[</w:t>
      </w:r>
      <w:r w:rsidR="004C2C6C" w:rsidRPr="003554C0">
        <w:t>7</w:t>
      </w:r>
      <w:r w:rsidR="00171C37" w:rsidRPr="003554C0">
        <w:t xml:space="preserve">] and the </w:t>
      </w:r>
      <w:r w:rsidR="00171C37" w:rsidRPr="003554C0">
        <w:rPr>
          <w:i/>
        </w:rPr>
        <w:t>sddsemitproc</w:t>
      </w:r>
      <w:r w:rsidRPr="003554C0">
        <w:t xml:space="preserve"> routine </w:t>
      </w:r>
      <w:r w:rsidR="001A3B2D" w:rsidRPr="003554C0">
        <w:t xml:space="preserve">available </w:t>
      </w:r>
      <w:r w:rsidRPr="003554C0">
        <w:t>in the SDDS Tool Kit [</w:t>
      </w:r>
      <w:r w:rsidR="004C2C6C" w:rsidRPr="003554C0">
        <w:t>8</w:t>
      </w:r>
      <w:r w:rsidRPr="003554C0">
        <w:t>].</w:t>
      </w:r>
      <w:r w:rsidR="009C6CC3" w:rsidRPr="003554C0">
        <w:t xml:space="preserve"> Note, that t</w:t>
      </w:r>
      <w:r w:rsidR="00342E10" w:rsidRPr="003554C0">
        <w:t xml:space="preserve">he first two are based on a multiple regression fit </w:t>
      </w:r>
      <w:r w:rsidR="0069476D" w:rsidRPr="003554C0">
        <w:t>(and give the exact same answers</w:t>
      </w:r>
      <w:r w:rsidR="0069476D">
        <w:t>), while</w:t>
      </w:r>
      <w:r w:rsidR="00AD6BE6">
        <w:t xml:space="preserve"> </w:t>
      </w:r>
      <w:r w:rsidR="0069476D" w:rsidRPr="0069476D">
        <w:t>the</w:t>
      </w:r>
      <w:r w:rsidR="0069476D">
        <w:t xml:space="preserve"> </w:t>
      </w:r>
      <w:r w:rsidR="0069476D" w:rsidRPr="00171C37">
        <w:rPr>
          <w:i/>
        </w:rPr>
        <w:t>sddsemitproc</w:t>
      </w:r>
      <w:r w:rsidR="0069476D">
        <w:t xml:space="preserve"> routine utilizes a </w:t>
      </w:r>
      <w:r w:rsidR="00AD6BE6" w:rsidRPr="0069476D">
        <w:t>robust least squares fit.</w:t>
      </w:r>
    </w:p>
    <w:p w:rsidR="00CF4DF7" w:rsidRDefault="00CF4DF7" w:rsidP="00FE01DA">
      <w:pPr>
        <w:jc w:val="both"/>
      </w:pPr>
    </w:p>
    <w:p w:rsidR="00B351DE" w:rsidRDefault="004A331E" w:rsidP="00CA4CC3">
      <w:pPr>
        <w:ind w:firstLine="360"/>
        <w:jc w:val="both"/>
      </w:pPr>
      <w:r>
        <w:t xml:space="preserve">Figure </w:t>
      </w:r>
      <w:r w:rsidR="001241C1">
        <w:t>4</w:t>
      </w:r>
      <w:r>
        <w:t xml:space="preserve"> shows the beam size squared versus the magnification (or, M</w:t>
      </w:r>
      <w:r w:rsidRPr="004A331E">
        <w:rPr>
          <w:vertAlign w:val="subscript"/>
        </w:rPr>
        <w:t>11</w:t>
      </w:r>
      <w:r>
        <w:t xml:space="preserve"> matrix element) for the horizontal and vertical scans</w:t>
      </w:r>
      <w:r w:rsidR="007F6597">
        <w:t xml:space="preserve"> and fits</w:t>
      </w:r>
      <w:r>
        <w:t xml:space="preserve">. </w:t>
      </w:r>
      <w:r w:rsidR="00B351DE">
        <w:t xml:space="preserve">Ideally several more vertical scans </w:t>
      </w:r>
      <w:r w:rsidR="00B351DE">
        <w:lastRenderedPageBreak/>
        <w:t xml:space="preserve">would </w:t>
      </w:r>
      <w:r w:rsidR="00117528">
        <w:t>be taken to improve the fitting; however d</w:t>
      </w:r>
      <w:r w:rsidR="00B351DE">
        <w:t xml:space="preserve">ue to time constraints – and the fact that a single stroke/measurement requires 2 minutes – we were </w:t>
      </w:r>
      <w:r w:rsidR="007F6597">
        <w:t>unable to</w:t>
      </w:r>
      <w:r w:rsidR="00B351DE">
        <w:t>.</w:t>
      </w:r>
    </w:p>
    <w:p w:rsidR="00E154C9" w:rsidRPr="00E154C9" w:rsidRDefault="00E154C9" w:rsidP="00E154C9">
      <w:pPr>
        <w:ind w:firstLine="360"/>
        <w:jc w:val="both"/>
        <w:rPr>
          <w:sz w:val="20"/>
        </w:rPr>
      </w:pPr>
    </w:p>
    <w:p w:rsidR="00006D1C" w:rsidRDefault="00006D1C" w:rsidP="00FE01DA">
      <w:pPr>
        <w:jc w:val="both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743200" cy="2743200"/>
            <wp:effectExtent l="0" t="0" r="0" b="0"/>
            <wp:docPr id="5" name="Picture 5" descr="C:\Users\tennant\Desktop\IHA0L03_2014-02-19_16_35\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nnant\Desktop\IHA0L03_2014-02-19_16_35\X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</w:rPr>
        <w:drawing>
          <wp:inline distT="0" distB="0" distL="0" distR="0" wp14:anchorId="3D7695A5" wp14:editId="0957B90E">
            <wp:extent cx="2743200" cy="2743200"/>
            <wp:effectExtent l="0" t="0" r="0" b="0"/>
            <wp:docPr id="4" name="Picture 4" descr="C:\Users\tennant\Desktop\IHA0L03_2014-02-19_16_35\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nnant\Desktop\IHA0L03_2014-02-19_16_35\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D1C" w:rsidRPr="00006D1C" w:rsidRDefault="00006D1C" w:rsidP="00FE01DA">
      <w:pPr>
        <w:jc w:val="both"/>
        <w:rPr>
          <w:sz w:val="16"/>
        </w:rPr>
      </w:pPr>
    </w:p>
    <w:p w:rsidR="00006D1C" w:rsidRDefault="00006D1C" w:rsidP="003C1C11">
      <w:pPr>
        <w:ind w:left="720" w:right="720"/>
        <w:jc w:val="center"/>
        <w:rPr>
          <w:sz w:val="20"/>
        </w:rPr>
      </w:pPr>
      <w:r w:rsidRPr="00006D1C">
        <w:rPr>
          <w:sz w:val="20"/>
        </w:rPr>
        <w:t xml:space="preserve">Figure </w:t>
      </w:r>
      <w:r w:rsidR="001241C1">
        <w:rPr>
          <w:sz w:val="20"/>
        </w:rPr>
        <w:t>4</w:t>
      </w:r>
      <w:r w:rsidRPr="00006D1C">
        <w:rPr>
          <w:sz w:val="20"/>
        </w:rPr>
        <w:t>:</w:t>
      </w:r>
      <w:r>
        <w:rPr>
          <w:sz w:val="20"/>
        </w:rPr>
        <w:t xml:space="preserve"> Horizontal (left) and vertical (right) scans with fit.</w:t>
      </w:r>
    </w:p>
    <w:p w:rsidR="003C1C11" w:rsidRDefault="003C1C11" w:rsidP="00B97C06">
      <w:pPr>
        <w:jc w:val="both"/>
        <w:rPr>
          <w:sz w:val="20"/>
        </w:rPr>
      </w:pPr>
    </w:p>
    <w:p w:rsidR="003C1C11" w:rsidRPr="003C1C11" w:rsidRDefault="003C1C11" w:rsidP="003C1C11">
      <w:pPr>
        <w:ind w:firstLine="360"/>
        <w:jc w:val="both"/>
      </w:pPr>
      <w:r w:rsidRPr="003C1C11">
        <w:t xml:space="preserve">The result of using a multiple regression fit on the three sets of beam size data are given in Table </w:t>
      </w:r>
      <w:r w:rsidR="001241C1">
        <w:t>1</w:t>
      </w:r>
      <w:r w:rsidRPr="003C1C11">
        <w:t>. As a reminder, these values correspond to the entrance of the scanning quadruprole (MQJ0L02).</w:t>
      </w:r>
      <w:r>
        <w:t xml:space="preserve"> Table </w:t>
      </w:r>
      <w:r w:rsidR="001241C1">
        <w:t>2</w:t>
      </w:r>
      <w:r>
        <w:t xml:space="preserve"> gives the values computed by </w:t>
      </w:r>
      <w:r w:rsidR="00233631">
        <w:t xml:space="preserve">the </w:t>
      </w:r>
      <w:r w:rsidR="00B0310B" w:rsidRPr="00B0310B">
        <w:rPr>
          <w:i/>
        </w:rPr>
        <w:t>sddsemitproc</w:t>
      </w:r>
      <w:r w:rsidR="00233631">
        <w:t xml:space="preserve"> routine</w:t>
      </w:r>
      <w:r>
        <w:t xml:space="preserve"> using the beam sizes from asymmetric Gaussian fits</w:t>
      </w:r>
      <w:r w:rsidR="00244309">
        <w:t xml:space="preserve"> only</w:t>
      </w:r>
      <w:r>
        <w:t>.</w:t>
      </w:r>
    </w:p>
    <w:p w:rsidR="00006D1C" w:rsidRDefault="00006D1C" w:rsidP="00FE01DA">
      <w:pPr>
        <w:jc w:val="both"/>
      </w:pPr>
    </w:p>
    <w:p w:rsidR="002525E7" w:rsidRPr="002525E7" w:rsidRDefault="002525E7" w:rsidP="009902D1">
      <w:pPr>
        <w:ind w:left="720" w:right="720"/>
        <w:jc w:val="center"/>
        <w:rPr>
          <w:sz w:val="20"/>
        </w:rPr>
      </w:pPr>
      <w:r w:rsidRPr="002525E7">
        <w:rPr>
          <w:sz w:val="20"/>
        </w:rPr>
        <w:t xml:space="preserve">Table </w:t>
      </w:r>
      <w:r w:rsidR="001241C1">
        <w:rPr>
          <w:sz w:val="20"/>
        </w:rPr>
        <w:t>1</w:t>
      </w:r>
      <w:r w:rsidRPr="002525E7">
        <w:rPr>
          <w:sz w:val="20"/>
        </w:rPr>
        <w:t>:</w:t>
      </w:r>
      <w:r w:rsidR="00EE7B1A">
        <w:rPr>
          <w:sz w:val="20"/>
        </w:rPr>
        <w:t xml:space="preserve"> </w:t>
      </w:r>
      <w:r w:rsidR="009902D1">
        <w:rPr>
          <w:sz w:val="20"/>
        </w:rPr>
        <w:t>Analysis r</w:t>
      </w:r>
      <w:r w:rsidR="00441F7A">
        <w:rPr>
          <w:sz w:val="20"/>
        </w:rPr>
        <w:t xml:space="preserve">esults of multiple regression </w:t>
      </w:r>
      <w:r w:rsidR="009902D1">
        <w:rPr>
          <w:sz w:val="20"/>
        </w:rPr>
        <w:t>fits</w:t>
      </w:r>
      <w:r w:rsidR="00441F7A">
        <w:rPr>
          <w:sz w:val="20"/>
        </w:rPr>
        <w:t xml:space="preserve"> of three sets of beam size data.</w:t>
      </w:r>
    </w:p>
    <w:p w:rsidR="002525E7" w:rsidRPr="002525E7" w:rsidRDefault="002525E7" w:rsidP="00FE01DA">
      <w:pPr>
        <w:jc w:val="both"/>
        <w:rPr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3"/>
        <w:gridCol w:w="1756"/>
        <w:gridCol w:w="1579"/>
        <w:gridCol w:w="2547"/>
      </w:tblGrid>
      <w:tr w:rsidR="002525E7" w:rsidTr="002525E7">
        <w:trPr>
          <w:jc w:val="center"/>
        </w:trPr>
        <w:tc>
          <w:tcPr>
            <w:tcW w:w="0" w:type="auto"/>
            <w:vAlign w:val="bottom"/>
          </w:tcPr>
          <w:p w:rsidR="002525E7" w:rsidRPr="002525E7" w:rsidRDefault="002525E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2525E7" w:rsidRPr="002525E7" w:rsidRDefault="002525E7">
            <w:pPr>
              <w:jc w:val="center"/>
              <w:rPr>
                <w:b/>
                <w:bCs/>
                <w:color w:val="000000"/>
              </w:rPr>
            </w:pPr>
            <w:r w:rsidRPr="002525E7">
              <w:rPr>
                <w:b/>
                <w:bCs/>
                <w:color w:val="000000"/>
              </w:rPr>
              <w:t>Harp Analyzer</w:t>
            </w:r>
          </w:p>
        </w:tc>
        <w:tc>
          <w:tcPr>
            <w:tcW w:w="1579" w:type="dxa"/>
            <w:vAlign w:val="bottom"/>
          </w:tcPr>
          <w:p w:rsidR="002525E7" w:rsidRPr="002525E7" w:rsidRDefault="002525E7">
            <w:pPr>
              <w:jc w:val="center"/>
              <w:rPr>
                <w:b/>
                <w:bCs/>
                <w:color w:val="000000"/>
              </w:rPr>
            </w:pPr>
            <w:r w:rsidRPr="002525E7">
              <w:rPr>
                <w:b/>
                <w:bCs/>
                <w:color w:val="000000"/>
              </w:rPr>
              <w:t>Gaussian</w:t>
            </w:r>
          </w:p>
        </w:tc>
        <w:tc>
          <w:tcPr>
            <w:tcW w:w="2547" w:type="dxa"/>
            <w:vAlign w:val="bottom"/>
          </w:tcPr>
          <w:p w:rsidR="002525E7" w:rsidRPr="002525E7" w:rsidRDefault="002525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Asymmetric</w:t>
            </w:r>
            <w:r w:rsidRPr="002525E7">
              <w:rPr>
                <w:b/>
                <w:bCs/>
                <w:color w:val="000000"/>
              </w:rPr>
              <w:t xml:space="preserve"> Gaussian</w:t>
            </w:r>
          </w:p>
        </w:tc>
      </w:tr>
      <w:tr w:rsidR="002525E7" w:rsidTr="002525E7">
        <w:trPr>
          <w:jc w:val="center"/>
        </w:trPr>
        <w:tc>
          <w:tcPr>
            <w:tcW w:w="0" w:type="auto"/>
            <w:vAlign w:val="bottom"/>
          </w:tcPr>
          <w:p w:rsidR="002525E7" w:rsidRPr="002525E7" w:rsidRDefault="002525E7">
            <w:pPr>
              <w:rPr>
                <w:b/>
                <w:bCs/>
                <w:color w:val="000000"/>
              </w:rPr>
            </w:pPr>
            <w:r w:rsidRPr="002525E7">
              <w:rPr>
                <w:rFonts w:ascii="Symbol" w:hAnsi="Symbol"/>
                <w:b/>
                <w:bCs/>
                <w:color w:val="000000"/>
              </w:rPr>
              <w:t></w:t>
            </w:r>
            <w:r w:rsidRPr="002525E7">
              <w:rPr>
                <w:b/>
                <w:bCs/>
                <w:color w:val="000000"/>
                <w:vertAlign w:val="subscript"/>
              </w:rPr>
              <w:t>x</w:t>
            </w:r>
            <w:r w:rsidRPr="002525E7">
              <w:rPr>
                <w:b/>
                <w:bCs/>
                <w:color w:val="000000"/>
              </w:rPr>
              <w:t xml:space="preserve"> </w:t>
            </w:r>
            <w:r w:rsidRPr="002525E7">
              <w:rPr>
                <w:i/>
                <w:iCs/>
                <w:color w:val="000000"/>
                <w:sz w:val="20"/>
              </w:rPr>
              <w:t>(mm-mrad)</w:t>
            </w:r>
          </w:p>
        </w:tc>
        <w:tc>
          <w:tcPr>
            <w:tcW w:w="0" w:type="auto"/>
            <w:vAlign w:val="bottom"/>
          </w:tcPr>
          <w:p w:rsidR="002525E7" w:rsidRPr="002525E7" w:rsidRDefault="002525E7">
            <w:pPr>
              <w:jc w:val="center"/>
              <w:rPr>
                <w:color w:val="000000"/>
              </w:rPr>
            </w:pPr>
            <w:r w:rsidRPr="002525E7">
              <w:rPr>
                <w:color w:val="000000"/>
              </w:rPr>
              <w:t>0.3777</w:t>
            </w:r>
          </w:p>
        </w:tc>
        <w:tc>
          <w:tcPr>
            <w:tcW w:w="1579" w:type="dxa"/>
            <w:vAlign w:val="bottom"/>
          </w:tcPr>
          <w:p w:rsidR="002525E7" w:rsidRPr="002525E7" w:rsidRDefault="002525E7">
            <w:pPr>
              <w:jc w:val="center"/>
              <w:rPr>
                <w:color w:val="000000"/>
              </w:rPr>
            </w:pPr>
            <w:r w:rsidRPr="002525E7">
              <w:rPr>
                <w:color w:val="000000"/>
              </w:rPr>
              <w:t>0.3858</w:t>
            </w:r>
          </w:p>
        </w:tc>
        <w:tc>
          <w:tcPr>
            <w:tcW w:w="2547" w:type="dxa"/>
            <w:vAlign w:val="bottom"/>
          </w:tcPr>
          <w:p w:rsidR="002525E7" w:rsidRPr="002525E7" w:rsidRDefault="002525E7">
            <w:pPr>
              <w:jc w:val="center"/>
              <w:rPr>
                <w:color w:val="000000"/>
              </w:rPr>
            </w:pPr>
            <w:r w:rsidRPr="002525E7">
              <w:rPr>
                <w:color w:val="000000"/>
              </w:rPr>
              <w:t>0.3958</w:t>
            </w:r>
          </w:p>
        </w:tc>
      </w:tr>
      <w:tr w:rsidR="002525E7" w:rsidTr="002525E7">
        <w:trPr>
          <w:jc w:val="center"/>
        </w:trPr>
        <w:tc>
          <w:tcPr>
            <w:tcW w:w="0" w:type="auto"/>
            <w:vAlign w:val="bottom"/>
          </w:tcPr>
          <w:p w:rsidR="002525E7" w:rsidRPr="002525E7" w:rsidRDefault="002525E7">
            <w:pPr>
              <w:rPr>
                <w:b/>
                <w:bCs/>
                <w:color w:val="000000"/>
              </w:rPr>
            </w:pPr>
            <w:r w:rsidRPr="002525E7">
              <w:rPr>
                <w:rFonts w:ascii="Symbol" w:hAnsi="Symbol"/>
                <w:b/>
                <w:bCs/>
                <w:color w:val="000000"/>
              </w:rPr>
              <w:t></w:t>
            </w:r>
            <w:r w:rsidRPr="002525E7">
              <w:rPr>
                <w:b/>
                <w:bCs/>
                <w:color w:val="000000"/>
                <w:vertAlign w:val="subscript"/>
              </w:rPr>
              <w:t>y</w:t>
            </w:r>
            <w:r w:rsidRPr="002525E7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2525E7">
              <w:rPr>
                <w:i/>
                <w:iCs/>
                <w:color w:val="000000"/>
                <w:sz w:val="20"/>
              </w:rPr>
              <w:t>(mm-mrad)</w:t>
            </w:r>
          </w:p>
        </w:tc>
        <w:tc>
          <w:tcPr>
            <w:tcW w:w="0" w:type="auto"/>
            <w:vAlign w:val="bottom"/>
          </w:tcPr>
          <w:p w:rsidR="002525E7" w:rsidRPr="002525E7" w:rsidRDefault="002525E7">
            <w:pPr>
              <w:jc w:val="center"/>
              <w:rPr>
                <w:color w:val="000000"/>
              </w:rPr>
            </w:pPr>
            <w:r w:rsidRPr="002525E7">
              <w:rPr>
                <w:color w:val="000000"/>
              </w:rPr>
              <w:t>0.2566</w:t>
            </w:r>
          </w:p>
        </w:tc>
        <w:tc>
          <w:tcPr>
            <w:tcW w:w="1579" w:type="dxa"/>
            <w:vAlign w:val="bottom"/>
          </w:tcPr>
          <w:p w:rsidR="002525E7" w:rsidRPr="002525E7" w:rsidRDefault="002525E7">
            <w:pPr>
              <w:jc w:val="center"/>
              <w:rPr>
                <w:color w:val="000000"/>
              </w:rPr>
            </w:pPr>
            <w:r w:rsidRPr="002525E7">
              <w:rPr>
                <w:color w:val="000000"/>
              </w:rPr>
              <w:t>0.2571</w:t>
            </w:r>
          </w:p>
        </w:tc>
        <w:tc>
          <w:tcPr>
            <w:tcW w:w="2547" w:type="dxa"/>
            <w:vAlign w:val="bottom"/>
          </w:tcPr>
          <w:p w:rsidR="002525E7" w:rsidRPr="002525E7" w:rsidRDefault="002525E7">
            <w:pPr>
              <w:jc w:val="center"/>
              <w:rPr>
                <w:color w:val="000000"/>
              </w:rPr>
            </w:pPr>
            <w:r w:rsidRPr="002525E7">
              <w:rPr>
                <w:color w:val="000000"/>
              </w:rPr>
              <w:t>0.2576</w:t>
            </w:r>
          </w:p>
        </w:tc>
      </w:tr>
      <w:tr w:rsidR="002525E7" w:rsidTr="002525E7">
        <w:trPr>
          <w:jc w:val="center"/>
        </w:trPr>
        <w:tc>
          <w:tcPr>
            <w:tcW w:w="0" w:type="auto"/>
            <w:vAlign w:val="bottom"/>
          </w:tcPr>
          <w:p w:rsidR="002525E7" w:rsidRPr="002525E7" w:rsidRDefault="002525E7">
            <w:pPr>
              <w:rPr>
                <w:b/>
                <w:bCs/>
                <w:color w:val="000000"/>
              </w:rPr>
            </w:pPr>
            <w:r w:rsidRPr="002525E7">
              <w:rPr>
                <w:rFonts w:ascii="Symbol" w:hAnsi="Symbol"/>
                <w:b/>
                <w:bCs/>
                <w:color w:val="000000"/>
              </w:rPr>
              <w:t></w:t>
            </w:r>
            <w:r w:rsidRPr="002525E7">
              <w:rPr>
                <w:b/>
                <w:bCs/>
                <w:color w:val="000000"/>
                <w:vertAlign w:val="subscript"/>
              </w:rPr>
              <w:t>x</w:t>
            </w:r>
            <w:r w:rsidRPr="002525E7">
              <w:rPr>
                <w:b/>
                <w:bCs/>
                <w:color w:val="000000"/>
              </w:rPr>
              <w:t xml:space="preserve"> </w:t>
            </w:r>
            <w:r w:rsidRPr="002525E7">
              <w:rPr>
                <w:i/>
                <w:iCs/>
                <w:color w:val="000000"/>
                <w:sz w:val="20"/>
              </w:rPr>
              <w:t>(m)</w:t>
            </w:r>
          </w:p>
        </w:tc>
        <w:tc>
          <w:tcPr>
            <w:tcW w:w="0" w:type="auto"/>
            <w:vAlign w:val="bottom"/>
          </w:tcPr>
          <w:p w:rsidR="002525E7" w:rsidRPr="002525E7" w:rsidRDefault="002525E7">
            <w:pPr>
              <w:jc w:val="center"/>
              <w:rPr>
                <w:color w:val="000000"/>
              </w:rPr>
            </w:pPr>
            <w:r w:rsidRPr="002525E7">
              <w:rPr>
                <w:color w:val="000000"/>
              </w:rPr>
              <w:t>5.3536</w:t>
            </w:r>
          </w:p>
        </w:tc>
        <w:tc>
          <w:tcPr>
            <w:tcW w:w="1579" w:type="dxa"/>
            <w:vAlign w:val="bottom"/>
          </w:tcPr>
          <w:p w:rsidR="002525E7" w:rsidRPr="002525E7" w:rsidRDefault="002525E7">
            <w:pPr>
              <w:jc w:val="center"/>
              <w:rPr>
                <w:color w:val="000000"/>
              </w:rPr>
            </w:pPr>
            <w:r w:rsidRPr="002525E7">
              <w:rPr>
                <w:color w:val="000000"/>
              </w:rPr>
              <w:t>6.3612</w:t>
            </w:r>
          </w:p>
        </w:tc>
        <w:tc>
          <w:tcPr>
            <w:tcW w:w="2547" w:type="dxa"/>
            <w:vAlign w:val="bottom"/>
          </w:tcPr>
          <w:p w:rsidR="002525E7" w:rsidRPr="002525E7" w:rsidRDefault="002525E7">
            <w:pPr>
              <w:jc w:val="center"/>
              <w:rPr>
                <w:color w:val="000000"/>
              </w:rPr>
            </w:pPr>
            <w:r w:rsidRPr="002525E7">
              <w:rPr>
                <w:color w:val="000000"/>
              </w:rPr>
              <w:t>6.3709</w:t>
            </w:r>
          </w:p>
        </w:tc>
      </w:tr>
      <w:tr w:rsidR="002525E7" w:rsidTr="002525E7">
        <w:trPr>
          <w:jc w:val="center"/>
        </w:trPr>
        <w:tc>
          <w:tcPr>
            <w:tcW w:w="0" w:type="auto"/>
            <w:vAlign w:val="bottom"/>
          </w:tcPr>
          <w:p w:rsidR="002525E7" w:rsidRPr="002525E7" w:rsidRDefault="002525E7">
            <w:pPr>
              <w:rPr>
                <w:b/>
                <w:bCs/>
                <w:color w:val="000000"/>
              </w:rPr>
            </w:pPr>
            <w:r w:rsidRPr="002525E7">
              <w:rPr>
                <w:rFonts w:ascii="Symbol" w:hAnsi="Symbol"/>
                <w:b/>
                <w:bCs/>
                <w:color w:val="000000"/>
              </w:rPr>
              <w:t></w:t>
            </w:r>
            <w:r w:rsidRPr="002525E7">
              <w:rPr>
                <w:b/>
                <w:bCs/>
                <w:color w:val="000000"/>
                <w:vertAlign w:val="subscript"/>
              </w:rPr>
              <w:t>y</w:t>
            </w:r>
            <w:r w:rsidRPr="002525E7">
              <w:rPr>
                <w:b/>
                <w:bCs/>
                <w:color w:val="000000"/>
              </w:rPr>
              <w:t xml:space="preserve"> </w:t>
            </w:r>
            <w:r w:rsidRPr="002525E7">
              <w:rPr>
                <w:i/>
                <w:iCs/>
                <w:color w:val="000000"/>
                <w:sz w:val="20"/>
              </w:rPr>
              <w:t>(m)</w:t>
            </w:r>
          </w:p>
        </w:tc>
        <w:tc>
          <w:tcPr>
            <w:tcW w:w="0" w:type="auto"/>
            <w:vAlign w:val="bottom"/>
          </w:tcPr>
          <w:p w:rsidR="002525E7" w:rsidRPr="002525E7" w:rsidRDefault="002525E7">
            <w:pPr>
              <w:jc w:val="center"/>
              <w:rPr>
                <w:color w:val="000000"/>
              </w:rPr>
            </w:pPr>
            <w:r w:rsidRPr="002525E7">
              <w:rPr>
                <w:color w:val="000000"/>
              </w:rPr>
              <w:t>2.0776</w:t>
            </w:r>
          </w:p>
        </w:tc>
        <w:tc>
          <w:tcPr>
            <w:tcW w:w="1579" w:type="dxa"/>
            <w:vAlign w:val="bottom"/>
          </w:tcPr>
          <w:p w:rsidR="002525E7" w:rsidRPr="002525E7" w:rsidRDefault="002525E7">
            <w:pPr>
              <w:jc w:val="center"/>
              <w:rPr>
                <w:color w:val="000000"/>
              </w:rPr>
            </w:pPr>
            <w:r w:rsidRPr="002525E7">
              <w:rPr>
                <w:color w:val="000000"/>
              </w:rPr>
              <w:t>2.2375</w:t>
            </w:r>
          </w:p>
        </w:tc>
        <w:tc>
          <w:tcPr>
            <w:tcW w:w="2547" w:type="dxa"/>
            <w:vAlign w:val="bottom"/>
          </w:tcPr>
          <w:p w:rsidR="002525E7" w:rsidRPr="002525E7" w:rsidRDefault="002525E7">
            <w:pPr>
              <w:jc w:val="center"/>
              <w:rPr>
                <w:color w:val="000000"/>
              </w:rPr>
            </w:pPr>
            <w:r w:rsidRPr="002525E7">
              <w:rPr>
                <w:color w:val="000000"/>
              </w:rPr>
              <w:t>2.2333</w:t>
            </w:r>
          </w:p>
        </w:tc>
      </w:tr>
      <w:tr w:rsidR="002525E7" w:rsidTr="002525E7">
        <w:trPr>
          <w:jc w:val="center"/>
        </w:trPr>
        <w:tc>
          <w:tcPr>
            <w:tcW w:w="0" w:type="auto"/>
            <w:vAlign w:val="bottom"/>
          </w:tcPr>
          <w:p w:rsidR="002525E7" w:rsidRPr="002525E7" w:rsidRDefault="002525E7">
            <w:pPr>
              <w:rPr>
                <w:b/>
                <w:bCs/>
                <w:color w:val="000000"/>
              </w:rPr>
            </w:pPr>
            <w:r w:rsidRPr="002525E7">
              <w:rPr>
                <w:rFonts w:ascii="Symbol" w:hAnsi="Symbol"/>
                <w:b/>
                <w:bCs/>
                <w:color w:val="000000"/>
              </w:rPr>
              <w:t></w:t>
            </w:r>
            <w:r w:rsidRPr="002525E7">
              <w:rPr>
                <w:b/>
                <w:bCs/>
                <w:color w:val="000000"/>
                <w:vertAlign w:val="subscript"/>
              </w:rPr>
              <w:t>x</w:t>
            </w:r>
          </w:p>
        </w:tc>
        <w:tc>
          <w:tcPr>
            <w:tcW w:w="0" w:type="auto"/>
            <w:vAlign w:val="bottom"/>
          </w:tcPr>
          <w:p w:rsidR="002525E7" w:rsidRPr="002525E7" w:rsidRDefault="002525E7">
            <w:pPr>
              <w:jc w:val="center"/>
              <w:rPr>
                <w:color w:val="000000"/>
              </w:rPr>
            </w:pPr>
            <w:r w:rsidRPr="002525E7">
              <w:rPr>
                <w:color w:val="000000"/>
              </w:rPr>
              <w:t>-0.8341</w:t>
            </w:r>
          </w:p>
        </w:tc>
        <w:tc>
          <w:tcPr>
            <w:tcW w:w="1579" w:type="dxa"/>
            <w:vAlign w:val="bottom"/>
          </w:tcPr>
          <w:p w:rsidR="002525E7" w:rsidRPr="002525E7" w:rsidRDefault="002525E7">
            <w:pPr>
              <w:jc w:val="center"/>
              <w:rPr>
                <w:color w:val="000000"/>
              </w:rPr>
            </w:pPr>
            <w:r w:rsidRPr="002525E7">
              <w:rPr>
                <w:color w:val="000000"/>
              </w:rPr>
              <w:t>-1.0632</w:t>
            </w:r>
          </w:p>
        </w:tc>
        <w:tc>
          <w:tcPr>
            <w:tcW w:w="2547" w:type="dxa"/>
            <w:vAlign w:val="bottom"/>
          </w:tcPr>
          <w:p w:rsidR="002525E7" w:rsidRPr="002525E7" w:rsidRDefault="002525E7">
            <w:pPr>
              <w:jc w:val="center"/>
              <w:rPr>
                <w:color w:val="000000"/>
              </w:rPr>
            </w:pPr>
            <w:r w:rsidRPr="002525E7">
              <w:rPr>
                <w:color w:val="000000"/>
              </w:rPr>
              <w:t>-1.0370</w:t>
            </w:r>
          </w:p>
        </w:tc>
      </w:tr>
      <w:tr w:rsidR="002525E7" w:rsidTr="002525E7">
        <w:trPr>
          <w:jc w:val="center"/>
        </w:trPr>
        <w:tc>
          <w:tcPr>
            <w:tcW w:w="0" w:type="auto"/>
            <w:vAlign w:val="bottom"/>
          </w:tcPr>
          <w:p w:rsidR="002525E7" w:rsidRPr="002525E7" w:rsidRDefault="002525E7">
            <w:pPr>
              <w:rPr>
                <w:b/>
                <w:bCs/>
                <w:color w:val="000000"/>
              </w:rPr>
            </w:pPr>
            <w:r w:rsidRPr="002525E7">
              <w:rPr>
                <w:rFonts w:ascii="Symbol" w:hAnsi="Symbol"/>
                <w:b/>
                <w:bCs/>
                <w:color w:val="000000"/>
              </w:rPr>
              <w:t></w:t>
            </w:r>
            <w:r w:rsidRPr="002525E7">
              <w:rPr>
                <w:b/>
                <w:bCs/>
                <w:color w:val="000000"/>
                <w:vertAlign w:val="subscript"/>
              </w:rPr>
              <w:t>y</w:t>
            </w:r>
          </w:p>
        </w:tc>
        <w:tc>
          <w:tcPr>
            <w:tcW w:w="0" w:type="auto"/>
            <w:vAlign w:val="bottom"/>
          </w:tcPr>
          <w:p w:rsidR="002525E7" w:rsidRPr="002525E7" w:rsidRDefault="002525E7">
            <w:pPr>
              <w:jc w:val="center"/>
              <w:rPr>
                <w:color w:val="000000"/>
              </w:rPr>
            </w:pPr>
            <w:r w:rsidRPr="002525E7">
              <w:rPr>
                <w:color w:val="000000"/>
              </w:rPr>
              <w:t>-0.0419</w:t>
            </w:r>
          </w:p>
        </w:tc>
        <w:tc>
          <w:tcPr>
            <w:tcW w:w="1579" w:type="dxa"/>
            <w:vAlign w:val="bottom"/>
          </w:tcPr>
          <w:p w:rsidR="002525E7" w:rsidRPr="002525E7" w:rsidRDefault="002525E7">
            <w:pPr>
              <w:jc w:val="center"/>
              <w:rPr>
                <w:color w:val="000000"/>
              </w:rPr>
            </w:pPr>
            <w:r w:rsidRPr="002525E7">
              <w:rPr>
                <w:color w:val="000000"/>
              </w:rPr>
              <w:t>-0.0427</w:t>
            </w:r>
          </w:p>
        </w:tc>
        <w:tc>
          <w:tcPr>
            <w:tcW w:w="2547" w:type="dxa"/>
            <w:vAlign w:val="bottom"/>
          </w:tcPr>
          <w:p w:rsidR="002525E7" w:rsidRPr="002525E7" w:rsidRDefault="002525E7">
            <w:pPr>
              <w:jc w:val="center"/>
              <w:rPr>
                <w:color w:val="000000"/>
              </w:rPr>
            </w:pPr>
            <w:r w:rsidRPr="002525E7">
              <w:rPr>
                <w:color w:val="000000"/>
              </w:rPr>
              <w:t>-0.0458</w:t>
            </w:r>
          </w:p>
        </w:tc>
      </w:tr>
    </w:tbl>
    <w:p w:rsidR="00EE7B1A" w:rsidRDefault="00EE7B1A" w:rsidP="00FE01DA">
      <w:pPr>
        <w:jc w:val="both"/>
      </w:pPr>
    </w:p>
    <w:p w:rsidR="00EE7B1A" w:rsidRPr="002525E7" w:rsidRDefault="00EE7B1A" w:rsidP="009902D1">
      <w:pPr>
        <w:ind w:left="720" w:right="720"/>
        <w:jc w:val="center"/>
        <w:rPr>
          <w:sz w:val="20"/>
        </w:rPr>
      </w:pPr>
      <w:r w:rsidRPr="002525E7">
        <w:rPr>
          <w:sz w:val="20"/>
        </w:rPr>
        <w:t xml:space="preserve">Table </w:t>
      </w:r>
      <w:r w:rsidR="001241C1">
        <w:rPr>
          <w:sz w:val="20"/>
        </w:rPr>
        <w:t>2</w:t>
      </w:r>
      <w:r w:rsidRPr="002525E7">
        <w:rPr>
          <w:sz w:val="20"/>
        </w:rPr>
        <w:t>:</w:t>
      </w:r>
      <w:r w:rsidR="009902D1">
        <w:rPr>
          <w:sz w:val="20"/>
        </w:rPr>
        <w:t xml:space="preserve"> Analysis </w:t>
      </w:r>
      <w:r w:rsidR="008C7638">
        <w:rPr>
          <w:sz w:val="20"/>
        </w:rPr>
        <w:t xml:space="preserve">results </w:t>
      </w:r>
      <w:r w:rsidR="009902D1">
        <w:rPr>
          <w:sz w:val="20"/>
        </w:rPr>
        <w:t xml:space="preserve">of </w:t>
      </w:r>
      <w:r w:rsidR="009902D1" w:rsidRPr="009902D1">
        <w:rPr>
          <w:i/>
          <w:sz w:val="20"/>
        </w:rPr>
        <w:t>sddsemitproc</w:t>
      </w:r>
      <w:r w:rsidR="009902D1">
        <w:rPr>
          <w:sz w:val="20"/>
        </w:rPr>
        <w:t xml:space="preserve"> fits of beam size data.</w:t>
      </w:r>
    </w:p>
    <w:p w:rsidR="00EE7B1A" w:rsidRPr="00EE7B1A" w:rsidRDefault="00EE7B1A" w:rsidP="00FE01DA">
      <w:pPr>
        <w:jc w:val="both"/>
        <w:rPr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3"/>
        <w:gridCol w:w="2476"/>
      </w:tblGrid>
      <w:tr w:rsidR="00EE7B1A" w:rsidTr="00EE7B1A">
        <w:trPr>
          <w:jc w:val="center"/>
        </w:trPr>
        <w:tc>
          <w:tcPr>
            <w:tcW w:w="0" w:type="auto"/>
            <w:vAlign w:val="bottom"/>
          </w:tcPr>
          <w:p w:rsidR="00EE7B1A" w:rsidRPr="002525E7" w:rsidRDefault="00EE7B1A" w:rsidP="005D4A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EE7B1A" w:rsidRPr="00EE7B1A" w:rsidRDefault="00EE7B1A" w:rsidP="00EE7B1A">
            <w:pPr>
              <w:jc w:val="center"/>
              <w:rPr>
                <w:b/>
                <w:bCs/>
                <w:color w:val="000000"/>
              </w:rPr>
            </w:pPr>
            <w:r w:rsidRPr="00EE7B1A">
              <w:rPr>
                <w:b/>
                <w:bCs/>
                <w:color w:val="000000"/>
              </w:rPr>
              <w:t>Asymmetric Gaussian</w:t>
            </w:r>
          </w:p>
        </w:tc>
      </w:tr>
      <w:tr w:rsidR="00EE7B1A" w:rsidTr="00EE7B1A">
        <w:trPr>
          <w:jc w:val="center"/>
        </w:trPr>
        <w:tc>
          <w:tcPr>
            <w:tcW w:w="0" w:type="auto"/>
            <w:vAlign w:val="bottom"/>
          </w:tcPr>
          <w:p w:rsidR="00EE7B1A" w:rsidRPr="002525E7" w:rsidRDefault="00EE7B1A" w:rsidP="005D4A5D">
            <w:pPr>
              <w:rPr>
                <w:b/>
                <w:bCs/>
                <w:color w:val="000000"/>
              </w:rPr>
            </w:pPr>
            <w:r w:rsidRPr="002525E7">
              <w:rPr>
                <w:rFonts w:ascii="Symbol" w:hAnsi="Symbol"/>
                <w:b/>
                <w:bCs/>
                <w:color w:val="000000"/>
              </w:rPr>
              <w:t></w:t>
            </w:r>
            <w:r w:rsidRPr="002525E7">
              <w:rPr>
                <w:b/>
                <w:bCs/>
                <w:color w:val="000000"/>
                <w:vertAlign w:val="subscript"/>
              </w:rPr>
              <w:t>x</w:t>
            </w:r>
            <w:r w:rsidRPr="002525E7">
              <w:rPr>
                <w:b/>
                <w:bCs/>
                <w:color w:val="000000"/>
              </w:rPr>
              <w:t xml:space="preserve"> </w:t>
            </w:r>
            <w:r w:rsidRPr="002525E7">
              <w:rPr>
                <w:i/>
                <w:iCs/>
                <w:color w:val="000000"/>
                <w:sz w:val="20"/>
              </w:rPr>
              <w:t>(mm-mrad)</w:t>
            </w:r>
          </w:p>
        </w:tc>
        <w:tc>
          <w:tcPr>
            <w:tcW w:w="0" w:type="auto"/>
            <w:vAlign w:val="bottom"/>
          </w:tcPr>
          <w:p w:rsidR="00EE7B1A" w:rsidRPr="00EE7B1A" w:rsidRDefault="00EE7B1A" w:rsidP="00EE7B1A">
            <w:pPr>
              <w:jc w:val="center"/>
              <w:rPr>
                <w:color w:val="000000"/>
              </w:rPr>
            </w:pPr>
            <w:r w:rsidRPr="00EE7B1A">
              <w:rPr>
                <w:color w:val="000000"/>
              </w:rPr>
              <w:t>0.3933</w:t>
            </w:r>
          </w:p>
        </w:tc>
      </w:tr>
      <w:tr w:rsidR="00EE7B1A" w:rsidTr="00EE7B1A">
        <w:trPr>
          <w:jc w:val="center"/>
        </w:trPr>
        <w:tc>
          <w:tcPr>
            <w:tcW w:w="0" w:type="auto"/>
            <w:vAlign w:val="bottom"/>
          </w:tcPr>
          <w:p w:rsidR="00EE7B1A" w:rsidRPr="002525E7" w:rsidRDefault="00EE7B1A" w:rsidP="005D4A5D">
            <w:pPr>
              <w:rPr>
                <w:b/>
                <w:bCs/>
                <w:color w:val="000000"/>
              </w:rPr>
            </w:pPr>
            <w:r w:rsidRPr="002525E7">
              <w:rPr>
                <w:rFonts w:ascii="Symbol" w:hAnsi="Symbol"/>
                <w:b/>
                <w:bCs/>
                <w:color w:val="000000"/>
              </w:rPr>
              <w:t></w:t>
            </w:r>
            <w:r w:rsidRPr="002525E7">
              <w:rPr>
                <w:b/>
                <w:bCs/>
                <w:color w:val="000000"/>
                <w:vertAlign w:val="subscript"/>
              </w:rPr>
              <w:t>y</w:t>
            </w:r>
            <w:r w:rsidRPr="002525E7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2525E7">
              <w:rPr>
                <w:i/>
                <w:iCs/>
                <w:color w:val="000000"/>
                <w:sz w:val="20"/>
              </w:rPr>
              <w:t>(mm-mrad)</w:t>
            </w:r>
          </w:p>
        </w:tc>
        <w:tc>
          <w:tcPr>
            <w:tcW w:w="0" w:type="auto"/>
            <w:vAlign w:val="bottom"/>
          </w:tcPr>
          <w:p w:rsidR="00EE7B1A" w:rsidRPr="00EE7B1A" w:rsidRDefault="00EE7B1A" w:rsidP="00EE7B1A">
            <w:pPr>
              <w:jc w:val="center"/>
              <w:rPr>
                <w:color w:val="000000"/>
              </w:rPr>
            </w:pPr>
            <w:r w:rsidRPr="00EE7B1A">
              <w:rPr>
                <w:color w:val="000000"/>
              </w:rPr>
              <w:t>0.2594</w:t>
            </w:r>
          </w:p>
        </w:tc>
      </w:tr>
      <w:tr w:rsidR="00EE7B1A" w:rsidTr="00EE7B1A">
        <w:trPr>
          <w:jc w:val="center"/>
        </w:trPr>
        <w:tc>
          <w:tcPr>
            <w:tcW w:w="0" w:type="auto"/>
            <w:vAlign w:val="bottom"/>
          </w:tcPr>
          <w:p w:rsidR="00EE7B1A" w:rsidRPr="002525E7" w:rsidRDefault="00EE7B1A" w:rsidP="005D4A5D">
            <w:pPr>
              <w:rPr>
                <w:b/>
                <w:bCs/>
                <w:color w:val="000000"/>
              </w:rPr>
            </w:pPr>
            <w:r w:rsidRPr="002525E7">
              <w:rPr>
                <w:rFonts w:ascii="Symbol" w:hAnsi="Symbol"/>
                <w:b/>
                <w:bCs/>
                <w:color w:val="000000"/>
              </w:rPr>
              <w:t></w:t>
            </w:r>
            <w:r w:rsidRPr="002525E7">
              <w:rPr>
                <w:b/>
                <w:bCs/>
                <w:color w:val="000000"/>
                <w:vertAlign w:val="subscript"/>
              </w:rPr>
              <w:t>x</w:t>
            </w:r>
            <w:r w:rsidRPr="002525E7">
              <w:rPr>
                <w:b/>
                <w:bCs/>
                <w:color w:val="000000"/>
              </w:rPr>
              <w:t xml:space="preserve"> </w:t>
            </w:r>
            <w:r w:rsidRPr="002525E7">
              <w:rPr>
                <w:i/>
                <w:iCs/>
                <w:color w:val="000000"/>
                <w:sz w:val="20"/>
              </w:rPr>
              <w:t>(m)</w:t>
            </w:r>
          </w:p>
        </w:tc>
        <w:tc>
          <w:tcPr>
            <w:tcW w:w="0" w:type="auto"/>
            <w:vAlign w:val="bottom"/>
          </w:tcPr>
          <w:p w:rsidR="00EE7B1A" w:rsidRPr="00EE7B1A" w:rsidRDefault="00EE7B1A" w:rsidP="00EE7B1A">
            <w:pPr>
              <w:jc w:val="center"/>
              <w:rPr>
                <w:color w:val="000000"/>
              </w:rPr>
            </w:pPr>
            <w:r w:rsidRPr="00EE7B1A">
              <w:rPr>
                <w:color w:val="000000"/>
              </w:rPr>
              <w:t>6.3812</w:t>
            </w:r>
          </w:p>
        </w:tc>
      </w:tr>
      <w:tr w:rsidR="00EE7B1A" w:rsidTr="00EE7B1A">
        <w:trPr>
          <w:jc w:val="center"/>
        </w:trPr>
        <w:tc>
          <w:tcPr>
            <w:tcW w:w="0" w:type="auto"/>
            <w:vAlign w:val="bottom"/>
          </w:tcPr>
          <w:p w:rsidR="00EE7B1A" w:rsidRPr="002525E7" w:rsidRDefault="00EE7B1A" w:rsidP="005D4A5D">
            <w:pPr>
              <w:rPr>
                <w:b/>
                <w:bCs/>
                <w:color w:val="000000"/>
              </w:rPr>
            </w:pPr>
            <w:r w:rsidRPr="002525E7">
              <w:rPr>
                <w:rFonts w:ascii="Symbol" w:hAnsi="Symbol"/>
                <w:b/>
                <w:bCs/>
                <w:color w:val="000000"/>
              </w:rPr>
              <w:t></w:t>
            </w:r>
            <w:r w:rsidRPr="002525E7">
              <w:rPr>
                <w:b/>
                <w:bCs/>
                <w:color w:val="000000"/>
                <w:vertAlign w:val="subscript"/>
              </w:rPr>
              <w:t>y</w:t>
            </w:r>
            <w:r w:rsidRPr="002525E7">
              <w:rPr>
                <w:b/>
                <w:bCs/>
                <w:color w:val="000000"/>
              </w:rPr>
              <w:t xml:space="preserve"> </w:t>
            </w:r>
            <w:r w:rsidRPr="002525E7">
              <w:rPr>
                <w:i/>
                <w:iCs/>
                <w:color w:val="000000"/>
                <w:sz w:val="20"/>
              </w:rPr>
              <w:t>(m)</w:t>
            </w:r>
          </w:p>
        </w:tc>
        <w:tc>
          <w:tcPr>
            <w:tcW w:w="0" w:type="auto"/>
            <w:vAlign w:val="bottom"/>
          </w:tcPr>
          <w:p w:rsidR="00EE7B1A" w:rsidRPr="00EE7B1A" w:rsidRDefault="00EE7B1A" w:rsidP="00EE7B1A">
            <w:pPr>
              <w:jc w:val="center"/>
              <w:rPr>
                <w:color w:val="000000"/>
              </w:rPr>
            </w:pPr>
            <w:r w:rsidRPr="00EE7B1A">
              <w:rPr>
                <w:color w:val="000000"/>
              </w:rPr>
              <w:t>2.3417</w:t>
            </w:r>
          </w:p>
        </w:tc>
      </w:tr>
      <w:tr w:rsidR="00EE7B1A" w:rsidTr="00EE7B1A">
        <w:trPr>
          <w:jc w:val="center"/>
        </w:trPr>
        <w:tc>
          <w:tcPr>
            <w:tcW w:w="0" w:type="auto"/>
            <w:vAlign w:val="bottom"/>
          </w:tcPr>
          <w:p w:rsidR="00EE7B1A" w:rsidRPr="002525E7" w:rsidRDefault="00EE7B1A" w:rsidP="005D4A5D">
            <w:pPr>
              <w:rPr>
                <w:b/>
                <w:bCs/>
                <w:color w:val="000000"/>
              </w:rPr>
            </w:pPr>
            <w:r w:rsidRPr="002525E7">
              <w:rPr>
                <w:rFonts w:ascii="Symbol" w:hAnsi="Symbol"/>
                <w:b/>
                <w:bCs/>
                <w:color w:val="000000"/>
              </w:rPr>
              <w:t></w:t>
            </w:r>
            <w:r w:rsidRPr="002525E7">
              <w:rPr>
                <w:b/>
                <w:bCs/>
                <w:color w:val="000000"/>
                <w:vertAlign w:val="subscript"/>
              </w:rPr>
              <w:t>x</w:t>
            </w:r>
          </w:p>
        </w:tc>
        <w:tc>
          <w:tcPr>
            <w:tcW w:w="0" w:type="auto"/>
            <w:vAlign w:val="bottom"/>
          </w:tcPr>
          <w:p w:rsidR="00EE7B1A" w:rsidRPr="00EE7B1A" w:rsidRDefault="00EE7B1A" w:rsidP="00EE7B1A">
            <w:pPr>
              <w:jc w:val="center"/>
              <w:rPr>
                <w:color w:val="000000"/>
              </w:rPr>
            </w:pPr>
            <w:r w:rsidRPr="00EE7B1A">
              <w:rPr>
                <w:color w:val="000000"/>
              </w:rPr>
              <w:t>-1.0169</w:t>
            </w:r>
          </w:p>
        </w:tc>
      </w:tr>
      <w:tr w:rsidR="00EE7B1A" w:rsidTr="00EE7B1A">
        <w:trPr>
          <w:jc w:val="center"/>
        </w:trPr>
        <w:tc>
          <w:tcPr>
            <w:tcW w:w="0" w:type="auto"/>
            <w:vAlign w:val="bottom"/>
          </w:tcPr>
          <w:p w:rsidR="00EE7B1A" w:rsidRPr="002525E7" w:rsidRDefault="00EE7B1A" w:rsidP="005D4A5D">
            <w:pPr>
              <w:rPr>
                <w:b/>
                <w:bCs/>
                <w:color w:val="000000"/>
              </w:rPr>
            </w:pPr>
            <w:r w:rsidRPr="002525E7">
              <w:rPr>
                <w:rFonts w:ascii="Symbol" w:hAnsi="Symbol"/>
                <w:b/>
                <w:bCs/>
                <w:color w:val="000000"/>
              </w:rPr>
              <w:t></w:t>
            </w:r>
            <w:r w:rsidRPr="002525E7">
              <w:rPr>
                <w:b/>
                <w:bCs/>
                <w:color w:val="000000"/>
                <w:vertAlign w:val="subscript"/>
              </w:rPr>
              <w:t>y</w:t>
            </w:r>
          </w:p>
        </w:tc>
        <w:tc>
          <w:tcPr>
            <w:tcW w:w="0" w:type="auto"/>
            <w:vAlign w:val="bottom"/>
          </w:tcPr>
          <w:p w:rsidR="00EE7B1A" w:rsidRPr="00EE7B1A" w:rsidRDefault="00EE7B1A" w:rsidP="00EE7B1A">
            <w:pPr>
              <w:jc w:val="center"/>
              <w:rPr>
                <w:color w:val="000000"/>
              </w:rPr>
            </w:pPr>
            <w:r w:rsidRPr="00EE7B1A">
              <w:rPr>
                <w:color w:val="000000"/>
              </w:rPr>
              <w:t>-0.0182</w:t>
            </w:r>
          </w:p>
        </w:tc>
      </w:tr>
    </w:tbl>
    <w:p w:rsidR="00EE7B1A" w:rsidRDefault="00EE7B1A" w:rsidP="00FE01DA">
      <w:pPr>
        <w:jc w:val="both"/>
      </w:pPr>
    </w:p>
    <w:p w:rsidR="00233631" w:rsidRDefault="00233631" w:rsidP="00FE01DA">
      <w:pPr>
        <w:jc w:val="both"/>
      </w:pPr>
    </w:p>
    <w:p w:rsidR="00233631" w:rsidRDefault="00233631" w:rsidP="00FE01DA">
      <w:pPr>
        <w:jc w:val="both"/>
      </w:pPr>
    </w:p>
    <w:p w:rsidR="003C1C11" w:rsidRDefault="003C1C11" w:rsidP="003C1C11">
      <w:pPr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5B268B4D" wp14:editId="70BAE236">
            <wp:extent cx="2743200" cy="2743200"/>
            <wp:effectExtent l="0" t="0" r="0" b="0"/>
            <wp:docPr id="8" name="Picture 8" descr="C:\Users\tennant\Desktop\IHA0L03_2014-02-19_16_35\ELEGANT\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nnant\Desktop\IHA0L03_2014-02-19_16_35\ELEGANT\x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inline distT="0" distB="0" distL="0" distR="0" wp14:anchorId="4C851845" wp14:editId="2900E310">
            <wp:extent cx="2743200" cy="2743200"/>
            <wp:effectExtent l="0" t="0" r="0" b="0"/>
            <wp:docPr id="9" name="Picture 9" descr="C:\Users\tennant\Desktop\IHA0L03_2014-02-19_16_35\ELEGANT\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nnant\Desktop\IHA0L03_2014-02-19_16_35\ELEGANT\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C11" w:rsidRPr="00006D1C" w:rsidRDefault="003C1C11" w:rsidP="003C1C11">
      <w:pPr>
        <w:jc w:val="both"/>
        <w:rPr>
          <w:sz w:val="16"/>
        </w:rPr>
      </w:pPr>
    </w:p>
    <w:p w:rsidR="003C1C11" w:rsidRDefault="003C1C11" w:rsidP="003C1C11">
      <w:pPr>
        <w:ind w:left="720" w:right="720"/>
        <w:jc w:val="both"/>
        <w:rPr>
          <w:sz w:val="20"/>
        </w:rPr>
      </w:pPr>
      <w:r w:rsidRPr="00006D1C">
        <w:rPr>
          <w:sz w:val="20"/>
        </w:rPr>
        <w:t xml:space="preserve">Figure </w:t>
      </w:r>
      <w:r w:rsidR="001241C1">
        <w:rPr>
          <w:sz w:val="20"/>
        </w:rPr>
        <w:t>5</w:t>
      </w:r>
      <w:r w:rsidRPr="00006D1C">
        <w:rPr>
          <w:sz w:val="20"/>
        </w:rPr>
        <w:t>:</w:t>
      </w:r>
      <w:r>
        <w:rPr>
          <w:sz w:val="20"/>
        </w:rPr>
        <w:t xml:space="preserve"> </w:t>
      </w:r>
      <w:r w:rsidR="002A3B35">
        <w:rPr>
          <w:sz w:val="20"/>
        </w:rPr>
        <w:t>Simulated h</w:t>
      </w:r>
      <w:r>
        <w:rPr>
          <w:sz w:val="20"/>
        </w:rPr>
        <w:t>orizontal (left) and</w:t>
      </w:r>
      <w:r w:rsidR="002A3B35">
        <w:rPr>
          <w:sz w:val="20"/>
        </w:rPr>
        <w:t xml:space="preserve"> vertical (right) sc</w:t>
      </w:r>
      <w:r w:rsidR="00CA4CC3">
        <w:rPr>
          <w:sz w:val="20"/>
        </w:rPr>
        <w:t>ans using extracted Twiss parame</w:t>
      </w:r>
      <w:r w:rsidR="002A3B35">
        <w:rPr>
          <w:sz w:val="20"/>
        </w:rPr>
        <w:t>ters</w:t>
      </w:r>
      <w:r>
        <w:rPr>
          <w:sz w:val="20"/>
        </w:rPr>
        <w:t>.</w:t>
      </w:r>
    </w:p>
    <w:p w:rsidR="003C1C11" w:rsidRDefault="003C1C11" w:rsidP="00FE01DA">
      <w:pPr>
        <w:jc w:val="both"/>
      </w:pPr>
    </w:p>
    <w:p w:rsidR="00DF5F38" w:rsidRDefault="00E521EB" w:rsidP="004E3A00">
      <w:pPr>
        <w:ind w:firstLine="360"/>
        <w:jc w:val="both"/>
      </w:pPr>
      <w:r>
        <w:t>As a test, we simulated the quadrupole scan using the results from fitting with asymmetric Gaussians and compared the regression and least squares fit</w:t>
      </w:r>
      <w:r w:rsidR="00DF5F38" w:rsidRPr="00244309">
        <w:t>.</w:t>
      </w:r>
      <w:r w:rsidR="00DF5F38">
        <w:t xml:space="preserve"> The </w:t>
      </w:r>
      <w:r w:rsidR="00DF5F38" w:rsidRPr="00813CB6">
        <w:rPr>
          <w:i/>
        </w:rPr>
        <w:t>sddsemitproc</w:t>
      </w:r>
      <w:r w:rsidR="00DF5F38">
        <w:t xml:space="preserve"> </w:t>
      </w:r>
      <w:r w:rsidR="00813CB6">
        <w:t xml:space="preserve">results </w:t>
      </w:r>
      <w:r w:rsidR="00DF5F38">
        <w:t>(labeled as “elegant”</w:t>
      </w:r>
      <w:r w:rsidR="00813CB6">
        <w:t xml:space="preserve"> in the legend) show</w:t>
      </w:r>
      <w:r w:rsidR="00DF5F38">
        <w:t xml:space="preserve"> a better fit to the vertical data, particularly near the minimum. This difference is reflected in the di</w:t>
      </w:r>
      <w:r w:rsidR="00244309">
        <w:t>screpancy</w:t>
      </w:r>
      <w:r w:rsidR="00DF5F38">
        <w:t xml:space="preserve"> in the vertical </w:t>
      </w:r>
      <w:r w:rsidR="009A400C">
        <w:t xml:space="preserve">betas and </w:t>
      </w:r>
      <w:r w:rsidR="00DF5F38">
        <w:t xml:space="preserve">alphas (compare Tables </w:t>
      </w:r>
      <w:r w:rsidR="001241C1">
        <w:t>1</w:t>
      </w:r>
      <w:r w:rsidR="00DF5F38">
        <w:t xml:space="preserve"> and </w:t>
      </w:r>
      <w:r w:rsidR="001241C1">
        <w:t>2</w:t>
      </w:r>
      <w:r w:rsidR="009A400C">
        <w:t xml:space="preserve"> for the “Asymmetric Gaussian”</w:t>
      </w:r>
      <w:r w:rsidR="00DF5F38">
        <w:t xml:space="preserve">). Whereas the emittance and </w:t>
      </w:r>
      <w:r w:rsidR="009A400C">
        <w:t xml:space="preserve">horizontal Twiss parameters </w:t>
      </w:r>
      <w:r w:rsidR="00DF5F38">
        <w:t xml:space="preserve">exhibit discrepancies on the </w:t>
      </w:r>
      <w:r w:rsidR="009A400C">
        <w:t>order of 1</w:t>
      </w:r>
      <w:r w:rsidR="00DF5F38">
        <w:t>%, the vertical</w:t>
      </w:r>
      <w:r w:rsidR="009A400C">
        <w:t xml:space="preserve"> beta and alpha differ by 5% and a fa</w:t>
      </w:r>
      <w:r w:rsidR="004373EC">
        <w:t>ctor of 2.5</w:t>
      </w:r>
      <w:r w:rsidR="009A400C">
        <w:t>, respectively</w:t>
      </w:r>
      <w:r w:rsidR="00DF5F38">
        <w:t>.</w:t>
      </w:r>
      <w:r w:rsidR="00E946D3">
        <w:t xml:space="preserve"> Much of this could be resolved by having a larger set of data points to fit.</w:t>
      </w:r>
    </w:p>
    <w:p w:rsidR="00DF5F38" w:rsidRDefault="00DF5F38" w:rsidP="004E3A00">
      <w:pPr>
        <w:ind w:firstLine="360"/>
        <w:jc w:val="both"/>
      </w:pPr>
    </w:p>
    <w:p w:rsidR="00A466A6" w:rsidRDefault="00A466A6" w:rsidP="004E3A00">
      <w:pPr>
        <w:ind w:firstLine="360"/>
        <w:jc w:val="both"/>
      </w:pPr>
      <w:r>
        <w:t>A helpful way to visualize the measured parameters of a quadrupole scan (</w:t>
      </w:r>
      <w:r w:rsidRPr="00A466A6">
        <w:rPr>
          <w:rFonts w:ascii="Symbol" w:hAnsi="Symbol"/>
          <w:i/>
        </w:rPr>
        <w:t></w:t>
      </w:r>
      <w:r w:rsidRPr="00A466A6">
        <w:rPr>
          <w:rFonts w:ascii="Symbol" w:hAnsi="Symbol"/>
          <w:i/>
        </w:rPr>
        <w:t></w:t>
      </w:r>
      <w:r>
        <w:rPr>
          <w:rFonts w:ascii="Symbol" w:hAnsi="Symbol"/>
          <w:i/>
        </w:rPr>
        <w:t></w:t>
      </w:r>
      <w:r w:rsidRPr="00A466A6">
        <w:rPr>
          <w:rFonts w:ascii="Symbol" w:hAnsi="Symbol"/>
          <w:i/>
        </w:rPr>
        <w:t></w:t>
      </w:r>
      <w:r w:rsidRPr="00A466A6">
        <w:rPr>
          <w:rFonts w:ascii="Symbol" w:hAnsi="Symbol"/>
          <w:i/>
        </w:rPr>
        <w:t></w:t>
      </w:r>
      <w:r>
        <w:rPr>
          <w:rFonts w:ascii="Symbol" w:hAnsi="Symbol"/>
          <w:i/>
        </w:rPr>
        <w:t></w:t>
      </w:r>
      <w:r w:rsidRPr="00A466A6">
        <w:rPr>
          <w:rFonts w:ascii="Symbol" w:hAnsi="Symbol"/>
          <w:i/>
        </w:rPr>
        <w:t></w:t>
      </w:r>
      <w:r>
        <w:t xml:space="preserve">) is to generate the associated phase ellipse. Figure </w:t>
      </w:r>
      <w:r w:rsidR="001241C1">
        <w:t>6</w:t>
      </w:r>
      <w:r>
        <w:t xml:space="preserve"> </w:t>
      </w:r>
      <w:r w:rsidR="00D81218">
        <w:t>shows a comparison of the transverse phase ellipses at the entrance to quadrupole 0L02 from measurements and from design</w:t>
      </w:r>
      <w:r w:rsidR="00BF4964">
        <w:t xml:space="preserve"> values</w:t>
      </w:r>
      <w:r w:rsidR="00D81218">
        <w:t>. We note that the origin of the de</w:t>
      </w:r>
      <w:r w:rsidR="00EE053A">
        <w:t xml:space="preserve">sign </w:t>
      </w:r>
      <w:r w:rsidR="00EE053A" w:rsidRPr="00EE053A">
        <w:rPr>
          <w:rFonts w:ascii="Symbol" w:hAnsi="Symbol"/>
          <w:i/>
        </w:rPr>
        <w:t></w:t>
      </w:r>
      <w:r w:rsidR="00EE053A">
        <w:t xml:space="preserve"> and </w:t>
      </w:r>
      <w:r w:rsidR="00EE053A" w:rsidRPr="00EE053A">
        <w:rPr>
          <w:rFonts w:ascii="Symbol" w:hAnsi="Symbol"/>
          <w:i/>
        </w:rPr>
        <w:t></w:t>
      </w:r>
      <w:r w:rsidR="00EE053A">
        <w:t xml:space="preserve"> </w:t>
      </w:r>
      <w:r w:rsidR="00972F8D">
        <w:t>values (as found in the</w:t>
      </w:r>
      <w:r w:rsidR="00D81218">
        <w:t xml:space="preserve"> elegant</w:t>
      </w:r>
      <w:r w:rsidR="00972F8D">
        <w:t xml:space="preserve"> decks</w:t>
      </w:r>
      <w:r w:rsidR="00D81218">
        <w:t xml:space="preserve">) </w:t>
      </w:r>
      <w:r w:rsidR="00BF4964">
        <w:t>are</w:t>
      </w:r>
      <w:r w:rsidR="00D81218">
        <w:t xml:space="preserve"> cloaked in mystery and so disagreement with them is neither unexpected nor particularly troubling. </w:t>
      </w:r>
      <w:r w:rsidR="00E623EF">
        <w:t>We note further that the elegant deck describe</w:t>
      </w:r>
      <w:r w:rsidR="00C662E1">
        <w:t>s</w:t>
      </w:r>
      <w:r w:rsidR="00E623EF">
        <w:t xml:space="preserve"> the beam with a normalized </w:t>
      </w:r>
      <w:r w:rsidR="00C662E1">
        <w:t>emittance of 1 mm-mrad –</w:t>
      </w:r>
      <w:r w:rsidR="007C6CA6">
        <w:t xml:space="preserve"> </w:t>
      </w:r>
      <w:r w:rsidR="00EE053A">
        <w:t>much too large even under</w:t>
      </w:r>
      <w:r w:rsidR="00E623EF">
        <w:t xml:space="preserve"> pessimistic assumptions. </w:t>
      </w:r>
      <w:r w:rsidR="00BF4964">
        <w:t xml:space="preserve">Absent recent measurements, a value of 0.13 mm-mrad was </w:t>
      </w:r>
      <w:r w:rsidR="00244309">
        <w:t xml:space="preserve">assumed or each transverse </w:t>
      </w:r>
      <w:r w:rsidR="00244309" w:rsidRPr="003554C0">
        <w:t>plane</w:t>
      </w:r>
      <w:r w:rsidR="00BF4964" w:rsidRPr="003554C0">
        <w:t xml:space="preserve"> [</w:t>
      </w:r>
      <w:r w:rsidR="004C2C6C" w:rsidRPr="003554C0">
        <w:t>9</w:t>
      </w:r>
      <w:r w:rsidR="00BF4964" w:rsidRPr="003554C0">
        <w:t>].</w:t>
      </w:r>
    </w:p>
    <w:p w:rsidR="00A466A6" w:rsidRDefault="00A466A6" w:rsidP="00FE01DA">
      <w:pPr>
        <w:jc w:val="both"/>
      </w:pPr>
    </w:p>
    <w:p w:rsidR="003C1C11" w:rsidRDefault="003C1C11" w:rsidP="00FE01DA">
      <w:pPr>
        <w:jc w:val="both"/>
      </w:pPr>
    </w:p>
    <w:p w:rsidR="00F05456" w:rsidRDefault="00F05456" w:rsidP="00FE01DA">
      <w:pPr>
        <w:jc w:val="both"/>
      </w:pPr>
      <w:r>
        <w:rPr>
          <w:noProof/>
        </w:rPr>
        <w:lastRenderedPageBreak/>
        <w:drawing>
          <wp:inline distT="0" distB="0" distL="0" distR="0">
            <wp:extent cx="2743200" cy="2743200"/>
            <wp:effectExtent l="0" t="0" r="0" b="0"/>
            <wp:docPr id="7" name="Picture 7" descr="C:\Users\tennant\Desktop\PhaseEllipse 0L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nnant\Desktop\PhaseEllipse 0L0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2743200"/>
            <wp:effectExtent l="0" t="0" r="0" b="0"/>
            <wp:docPr id="6" name="Picture 6" descr="C:\Users\tennant\Desktop\Phase Ellipse 0L02 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nnant\Desktop\Phase Ellipse 0L02 Desig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456" w:rsidRDefault="00F05456" w:rsidP="00FE01DA">
      <w:pPr>
        <w:jc w:val="both"/>
      </w:pPr>
    </w:p>
    <w:p w:rsidR="00F05456" w:rsidRPr="00F05456" w:rsidRDefault="00F05456" w:rsidP="00F05456">
      <w:pPr>
        <w:ind w:left="720" w:right="720"/>
        <w:jc w:val="both"/>
        <w:rPr>
          <w:sz w:val="20"/>
        </w:rPr>
      </w:pPr>
      <w:r w:rsidRPr="00F05456">
        <w:rPr>
          <w:sz w:val="20"/>
        </w:rPr>
        <w:t xml:space="preserve">Figure </w:t>
      </w:r>
      <w:r w:rsidR="001241C1">
        <w:rPr>
          <w:sz w:val="20"/>
        </w:rPr>
        <w:t>6</w:t>
      </w:r>
      <w:r w:rsidRPr="00F05456">
        <w:rPr>
          <w:sz w:val="20"/>
        </w:rPr>
        <w:t>:</w:t>
      </w:r>
      <w:r>
        <w:rPr>
          <w:sz w:val="20"/>
        </w:rPr>
        <w:t xml:space="preserve"> Transverse phase ellipses at the entrance to MQJ0L02 from measurements (left) and from design values (right).</w:t>
      </w:r>
    </w:p>
    <w:p w:rsidR="00F05456" w:rsidRPr="00B97C06" w:rsidRDefault="00F05456" w:rsidP="00FE01DA">
      <w:pPr>
        <w:jc w:val="both"/>
      </w:pPr>
    </w:p>
    <w:p w:rsidR="00660637" w:rsidRDefault="00660637" w:rsidP="00FE01DA">
      <w:pPr>
        <w:jc w:val="both"/>
        <w:rPr>
          <w:b/>
          <w:sz w:val="28"/>
        </w:rPr>
      </w:pPr>
      <w:r>
        <w:rPr>
          <w:b/>
          <w:sz w:val="28"/>
        </w:rPr>
        <w:t xml:space="preserve">Back Propagation to </w:t>
      </w:r>
      <w:r w:rsidR="00F27AFE">
        <w:rPr>
          <w:b/>
          <w:sz w:val="28"/>
        </w:rPr>
        <w:t xml:space="preserve">the </w:t>
      </w:r>
      <w:r w:rsidRPr="002525E7">
        <w:rPr>
          <w:b/>
          <w:sz w:val="28"/>
        </w:rPr>
        <w:t>Entrance of the Quarter Cryounit</w:t>
      </w:r>
    </w:p>
    <w:p w:rsidR="00660637" w:rsidRDefault="00660637" w:rsidP="00FE01DA">
      <w:pPr>
        <w:jc w:val="both"/>
      </w:pPr>
    </w:p>
    <w:p w:rsidR="008875D6" w:rsidRDefault="00321738" w:rsidP="008875D6">
      <w:pPr>
        <w:ind w:firstLine="360"/>
        <w:jc w:val="both"/>
      </w:pPr>
      <w:r>
        <w:t xml:space="preserve">Because these measurements were </w:t>
      </w:r>
      <w:r w:rsidR="008351A0">
        <w:t>not taken at the standard 6.3 MeV/c, it will be difficult to compar</w:t>
      </w:r>
      <w:r w:rsidR="0041263B">
        <w:t xml:space="preserve">e future measurements. </w:t>
      </w:r>
      <w:r w:rsidR="006B62FC">
        <w:t>M</w:t>
      </w:r>
      <w:r w:rsidR="008351A0">
        <w:t>oving to a different energy setpoint requires changing the gr</w:t>
      </w:r>
      <w:r w:rsidR="00484F94">
        <w:t>adients in the quarter cryounit;</w:t>
      </w:r>
      <w:r w:rsidR="0041263B">
        <w:t xml:space="preserve"> this in turn </w:t>
      </w:r>
      <w:r w:rsidR="008351A0">
        <w:t>changes th</w:t>
      </w:r>
      <w:r w:rsidR="0041263B">
        <w:t xml:space="preserve">e RF transverse focusing </w:t>
      </w:r>
      <w:r w:rsidR="008351A0">
        <w:t xml:space="preserve">which the nonrelativistic beam is </w:t>
      </w:r>
      <w:r w:rsidR="0041263B">
        <w:t xml:space="preserve">particularly </w:t>
      </w:r>
      <w:r w:rsidR="008351A0">
        <w:t>sensitive to.</w:t>
      </w:r>
      <w:r w:rsidR="008875D6">
        <w:t xml:space="preserve"> An effort was made to back propagate these results to a location upstream of where changes were made, i.e. the cryounit. This was done by creating a model of the beamline from the entrance to the cryounit to the entrance of quadrupole 0L02 in P</w:t>
      </w:r>
      <w:r w:rsidR="00C15630">
        <w:t>armela</w:t>
      </w:r>
      <w:r w:rsidR="00A27C98">
        <w:t xml:space="preserve"> [</w:t>
      </w:r>
      <w:r w:rsidR="004C2C6C" w:rsidRPr="003554C0">
        <w:t>10</w:t>
      </w:r>
      <w:r w:rsidR="00A27C98" w:rsidRPr="003554C0">
        <w:t>]</w:t>
      </w:r>
      <w:r w:rsidR="008875D6" w:rsidRPr="003554C0">
        <w:t>.</w:t>
      </w:r>
      <w:r w:rsidR="008875D6">
        <w:t xml:space="preserve"> Though typically reserved for space charge calculations, P</w:t>
      </w:r>
      <w:r w:rsidR="00C15630">
        <w:t>armela</w:t>
      </w:r>
      <w:r w:rsidR="008875D6">
        <w:t xml:space="preserve"> has the capability to read in cavity field profiles and perform detailed beam dynamics calculations; including time-of-flight effects for sub-relativistic particles. By propagating principle rays through the beamline, one </w:t>
      </w:r>
      <w:r w:rsidR="001010C2">
        <w:t xml:space="preserve">can </w:t>
      </w:r>
      <w:r w:rsidR="00464B23">
        <w:t>compute</w:t>
      </w:r>
      <w:r w:rsidR="008875D6">
        <w:t xml:space="preserve"> the transfer matrix for the system.</w:t>
      </w:r>
      <w:r w:rsidR="00464B23">
        <w:t xml:space="preserve"> Knowing this matrix and the measured Twiss value</w:t>
      </w:r>
      <w:r w:rsidR="001010C2">
        <w:t>s, it is straightforward</w:t>
      </w:r>
      <w:r w:rsidR="00464B23">
        <w:t xml:space="preserve"> to back out what the initial Twiss parameters must be (see Table 3). The associated phase space ellipses are shown in Fig. 7.</w:t>
      </w:r>
    </w:p>
    <w:p w:rsidR="00D5561D" w:rsidRDefault="00D5561D" w:rsidP="00FE01DA">
      <w:pPr>
        <w:jc w:val="both"/>
      </w:pPr>
    </w:p>
    <w:p w:rsidR="002807DC" w:rsidRPr="002807DC" w:rsidRDefault="002807DC" w:rsidP="002807DC">
      <w:pPr>
        <w:ind w:left="720" w:right="720"/>
        <w:jc w:val="center"/>
        <w:rPr>
          <w:sz w:val="20"/>
        </w:rPr>
      </w:pPr>
      <w:r w:rsidRPr="002807DC">
        <w:rPr>
          <w:sz w:val="20"/>
        </w:rPr>
        <w:t xml:space="preserve">Table </w:t>
      </w:r>
      <w:r w:rsidR="001241C1">
        <w:rPr>
          <w:sz w:val="20"/>
        </w:rPr>
        <w:t>3</w:t>
      </w:r>
      <w:r w:rsidRPr="002807DC">
        <w:rPr>
          <w:sz w:val="20"/>
        </w:rPr>
        <w:t>:</w:t>
      </w:r>
      <w:r>
        <w:rPr>
          <w:sz w:val="20"/>
        </w:rPr>
        <w:t xml:space="preserve"> </w:t>
      </w:r>
    </w:p>
    <w:p w:rsidR="002807DC" w:rsidRPr="002807DC" w:rsidRDefault="002807DC" w:rsidP="002807DC">
      <w:pPr>
        <w:ind w:left="720" w:right="720"/>
        <w:jc w:val="center"/>
        <w:rPr>
          <w:sz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3"/>
        <w:gridCol w:w="2156"/>
      </w:tblGrid>
      <w:tr w:rsidR="00584E24" w:rsidTr="000B6040">
        <w:trPr>
          <w:jc w:val="center"/>
        </w:trPr>
        <w:tc>
          <w:tcPr>
            <w:tcW w:w="0" w:type="auto"/>
            <w:vAlign w:val="bottom"/>
          </w:tcPr>
          <w:p w:rsidR="00584E24" w:rsidRPr="002525E7" w:rsidRDefault="00584E24" w:rsidP="000B60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Parameter</w:t>
            </w:r>
          </w:p>
        </w:tc>
        <w:tc>
          <w:tcPr>
            <w:tcW w:w="0" w:type="auto"/>
            <w:vAlign w:val="bottom"/>
          </w:tcPr>
          <w:p w:rsidR="00584E24" w:rsidRPr="00EE7B1A" w:rsidRDefault="00584E24" w:rsidP="00584E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Cryounit Entrance</w:t>
            </w:r>
          </w:p>
        </w:tc>
      </w:tr>
      <w:tr w:rsidR="00584E24" w:rsidTr="000B6040">
        <w:trPr>
          <w:jc w:val="center"/>
        </w:trPr>
        <w:tc>
          <w:tcPr>
            <w:tcW w:w="0" w:type="auto"/>
            <w:vAlign w:val="bottom"/>
          </w:tcPr>
          <w:p w:rsidR="00584E24" w:rsidRPr="002525E7" w:rsidRDefault="00584E24" w:rsidP="000B6040">
            <w:pPr>
              <w:rPr>
                <w:b/>
                <w:bCs/>
                <w:color w:val="000000"/>
              </w:rPr>
            </w:pPr>
            <w:r w:rsidRPr="002525E7">
              <w:rPr>
                <w:rFonts w:ascii="Symbol" w:hAnsi="Symbol"/>
                <w:b/>
                <w:bCs/>
                <w:color w:val="000000"/>
              </w:rPr>
              <w:t></w:t>
            </w:r>
            <w:r w:rsidRPr="002525E7">
              <w:rPr>
                <w:b/>
                <w:bCs/>
                <w:color w:val="000000"/>
                <w:vertAlign w:val="subscript"/>
              </w:rPr>
              <w:t>x</w:t>
            </w:r>
            <w:r>
              <w:rPr>
                <w:b/>
                <w:bCs/>
                <w:color w:val="000000"/>
                <w:vertAlign w:val="subscript"/>
              </w:rPr>
              <w:t>,y</w:t>
            </w:r>
            <w:r w:rsidRPr="002525E7">
              <w:rPr>
                <w:b/>
                <w:bCs/>
                <w:color w:val="000000"/>
              </w:rPr>
              <w:t xml:space="preserve"> </w:t>
            </w:r>
            <w:r w:rsidRPr="002525E7">
              <w:rPr>
                <w:i/>
                <w:iCs/>
                <w:color w:val="000000"/>
                <w:sz w:val="20"/>
              </w:rPr>
              <w:t>(mm-mrad)</w:t>
            </w:r>
          </w:p>
        </w:tc>
        <w:tc>
          <w:tcPr>
            <w:tcW w:w="0" w:type="auto"/>
            <w:vAlign w:val="bottom"/>
          </w:tcPr>
          <w:p w:rsidR="00584E24" w:rsidRPr="00EE7B1A" w:rsidRDefault="00584E24" w:rsidP="000B6040">
            <w:pPr>
              <w:jc w:val="center"/>
              <w:rPr>
                <w:color w:val="000000"/>
              </w:rPr>
            </w:pPr>
            <w:r w:rsidRPr="00EE7B1A">
              <w:rPr>
                <w:color w:val="000000"/>
              </w:rPr>
              <w:t>0.3933</w:t>
            </w:r>
            <w:r>
              <w:rPr>
                <w:color w:val="000000"/>
              </w:rPr>
              <w:t xml:space="preserve">, </w:t>
            </w:r>
            <w:r w:rsidR="006978E7">
              <w:rPr>
                <w:color w:val="000000"/>
              </w:rPr>
              <w:t>0.2594</w:t>
            </w:r>
          </w:p>
        </w:tc>
      </w:tr>
      <w:tr w:rsidR="00584E24" w:rsidTr="000B6040">
        <w:trPr>
          <w:jc w:val="center"/>
        </w:trPr>
        <w:tc>
          <w:tcPr>
            <w:tcW w:w="0" w:type="auto"/>
            <w:vAlign w:val="bottom"/>
          </w:tcPr>
          <w:p w:rsidR="00584E24" w:rsidRPr="002525E7" w:rsidRDefault="00584E24" w:rsidP="000B6040">
            <w:pPr>
              <w:rPr>
                <w:b/>
                <w:bCs/>
                <w:color w:val="000000"/>
              </w:rPr>
            </w:pPr>
            <w:r w:rsidRPr="002525E7">
              <w:rPr>
                <w:rFonts w:ascii="Symbol" w:hAnsi="Symbol"/>
                <w:b/>
                <w:bCs/>
                <w:color w:val="000000"/>
              </w:rPr>
              <w:t></w:t>
            </w:r>
            <w:r w:rsidRPr="002525E7">
              <w:rPr>
                <w:b/>
                <w:bCs/>
                <w:color w:val="000000"/>
                <w:vertAlign w:val="subscript"/>
              </w:rPr>
              <w:t>x</w:t>
            </w:r>
            <w:r>
              <w:rPr>
                <w:b/>
                <w:bCs/>
                <w:color w:val="000000"/>
                <w:vertAlign w:val="subscript"/>
              </w:rPr>
              <w:t>,y</w:t>
            </w:r>
            <w:r w:rsidRPr="002525E7">
              <w:rPr>
                <w:b/>
                <w:bCs/>
                <w:color w:val="000000"/>
              </w:rPr>
              <w:t xml:space="preserve"> </w:t>
            </w:r>
            <w:r w:rsidRPr="002525E7">
              <w:rPr>
                <w:i/>
                <w:iCs/>
                <w:color w:val="000000"/>
                <w:sz w:val="20"/>
              </w:rPr>
              <w:t>(m)</w:t>
            </w:r>
          </w:p>
        </w:tc>
        <w:tc>
          <w:tcPr>
            <w:tcW w:w="0" w:type="auto"/>
            <w:vAlign w:val="bottom"/>
          </w:tcPr>
          <w:p w:rsidR="00584E24" w:rsidRPr="00EE7B1A" w:rsidRDefault="002807DC" w:rsidP="000B6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1.3892</w:t>
            </w:r>
            <w:r w:rsidR="00584E2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4.0910</w:t>
            </w:r>
            <w:r w:rsidR="00584E24">
              <w:rPr>
                <w:color w:val="000000"/>
              </w:rPr>
              <w:t xml:space="preserve"> </w:t>
            </w:r>
          </w:p>
        </w:tc>
      </w:tr>
      <w:tr w:rsidR="00584E24" w:rsidTr="000B6040">
        <w:trPr>
          <w:jc w:val="center"/>
        </w:trPr>
        <w:tc>
          <w:tcPr>
            <w:tcW w:w="0" w:type="auto"/>
            <w:vAlign w:val="bottom"/>
          </w:tcPr>
          <w:p w:rsidR="00584E24" w:rsidRPr="002525E7" w:rsidRDefault="00584E24" w:rsidP="000B6040">
            <w:pPr>
              <w:rPr>
                <w:b/>
                <w:bCs/>
                <w:color w:val="000000"/>
              </w:rPr>
            </w:pPr>
            <w:r w:rsidRPr="002525E7">
              <w:rPr>
                <w:rFonts w:ascii="Symbol" w:hAnsi="Symbol"/>
                <w:b/>
                <w:bCs/>
                <w:color w:val="000000"/>
              </w:rPr>
              <w:t></w:t>
            </w:r>
            <w:r w:rsidRPr="002525E7">
              <w:rPr>
                <w:b/>
                <w:bCs/>
                <w:color w:val="000000"/>
                <w:vertAlign w:val="subscript"/>
              </w:rPr>
              <w:t>x</w:t>
            </w:r>
            <w:r>
              <w:rPr>
                <w:b/>
                <w:bCs/>
                <w:color w:val="000000"/>
                <w:vertAlign w:val="subscript"/>
              </w:rPr>
              <w:t>,y</w:t>
            </w:r>
          </w:p>
        </w:tc>
        <w:tc>
          <w:tcPr>
            <w:tcW w:w="0" w:type="auto"/>
            <w:vAlign w:val="bottom"/>
          </w:tcPr>
          <w:p w:rsidR="00584E24" w:rsidRPr="00EE7B1A" w:rsidRDefault="002807DC" w:rsidP="000B6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-0.7894, -2.9916</w:t>
            </w:r>
            <w:r w:rsidR="00584E24">
              <w:rPr>
                <w:color w:val="000000"/>
              </w:rPr>
              <w:t xml:space="preserve"> </w:t>
            </w:r>
          </w:p>
        </w:tc>
      </w:tr>
    </w:tbl>
    <w:p w:rsidR="00584E24" w:rsidRDefault="00584E24" w:rsidP="00FE01DA">
      <w:pPr>
        <w:jc w:val="both"/>
      </w:pPr>
    </w:p>
    <w:p w:rsidR="00584E24" w:rsidRDefault="00506706" w:rsidP="00584E24">
      <w:pPr>
        <w:jc w:val="center"/>
      </w:pPr>
      <w:r>
        <w:rPr>
          <w:noProof/>
        </w:rPr>
        <w:lastRenderedPageBreak/>
        <w:drawing>
          <wp:inline distT="0" distB="0" distL="0" distR="0">
            <wp:extent cx="2743200" cy="2743200"/>
            <wp:effectExtent l="0" t="0" r="0" b="0"/>
            <wp:docPr id="12" name="Picture 12" descr="C:\Users\tennant\Desktop\IHA0L03_2014-02-19_16_35\PHASE ELLIPSE\PhaseEllipseCryoun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nnant\Desktop\IHA0L03_2014-02-19_16_35\PHASE ELLIPSE\PhaseEllipseCryouni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E24" w:rsidRPr="00584E24" w:rsidRDefault="00584E24" w:rsidP="00584E24">
      <w:pPr>
        <w:jc w:val="center"/>
        <w:rPr>
          <w:sz w:val="12"/>
        </w:rPr>
      </w:pPr>
    </w:p>
    <w:p w:rsidR="00584E24" w:rsidRPr="00584E24" w:rsidRDefault="00584E24" w:rsidP="00584E24">
      <w:pPr>
        <w:tabs>
          <w:tab w:val="left" w:pos="7920"/>
        </w:tabs>
        <w:ind w:left="720" w:right="720"/>
        <w:jc w:val="both"/>
        <w:rPr>
          <w:sz w:val="20"/>
        </w:rPr>
      </w:pPr>
      <w:r w:rsidRPr="00584E24">
        <w:rPr>
          <w:sz w:val="20"/>
        </w:rPr>
        <w:t xml:space="preserve">Figure </w:t>
      </w:r>
      <w:r w:rsidR="001241C1">
        <w:rPr>
          <w:sz w:val="20"/>
        </w:rPr>
        <w:t>7</w:t>
      </w:r>
      <w:r w:rsidRPr="00584E24">
        <w:rPr>
          <w:sz w:val="20"/>
        </w:rPr>
        <w:t>:</w:t>
      </w:r>
      <w:r>
        <w:rPr>
          <w:sz w:val="20"/>
        </w:rPr>
        <w:t xml:space="preserve"> Estimates of the transverse phase ellipses at the entrance to the quarter cryounit (540 keV).</w:t>
      </w:r>
    </w:p>
    <w:p w:rsidR="00584E24" w:rsidRDefault="00584E24" w:rsidP="00FE01DA">
      <w:pPr>
        <w:jc w:val="both"/>
      </w:pPr>
    </w:p>
    <w:p w:rsidR="00464B23" w:rsidRDefault="001052C8" w:rsidP="001052C8">
      <w:pPr>
        <w:ind w:firstLine="360"/>
        <w:jc w:val="both"/>
      </w:pPr>
      <w:r>
        <w:t>We caution</w:t>
      </w:r>
      <w:r w:rsidR="00A27C98">
        <w:t xml:space="preserve"> that this is only an estimate and that this calculation has m</w:t>
      </w:r>
      <w:r w:rsidR="00464B23">
        <w:t>any assumpt</w:t>
      </w:r>
      <w:r w:rsidR="00A27C98">
        <w:t>ions. Namely,</w:t>
      </w:r>
    </w:p>
    <w:p w:rsidR="00464B23" w:rsidRPr="00D5561D" w:rsidRDefault="00464B23" w:rsidP="00464B23">
      <w:pPr>
        <w:jc w:val="both"/>
      </w:pPr>
    </w:p>
    <w:p w:rsidR="00464B23" w:rsidRDefault="00464B23" w:rsidP="00150DE1">
      <w:pPr>
        <w:pStyle w:val="ListParagraph"/>
        <w:numPr>
          <w:ilvl w:val="0"/>
          <w:numId w:val="6"/>
        </w:numPr>
        <w:ind w:right="720"/>
        <w:jc w:val="both"/>
      </w:pPr>
      <w:r>
        <w:t xml:space="preserve">The kinetic energy at the exit of the capture section </w:t>
      </w:r>
      <w:r w:rsidR="00A27C98">
        <w:t xml:space="preserve">has </w:t>
      </w:r>
      <w:r>
        <w:t xml:space="preserve">not </w:t>
      </w:r>
      <w:r w:rsidR="00A27C98">
        <w:t xml:space="preserve">been </w:t>
      </w:r>
      <w:r>
        <w:t>measured, though a plan is in place [</w:t>
      </w:r>
      <w:r w:rsidR="004C2C6C">
        <w:t>11</w:t>
      </w:r>
      <w:r>
        <w:t>]. For this work, a value of 540 keV was used.</w:t>
      </w:r>
    </w:p>
    <w:p w:rsidR="00464B23" w:rsidRDefault="00A27C98" w:rsidP="00150DE1">
      <w:pPr>
        <w:pStyle w:val="ListParagraph"/>
        <w:numPr>
          <w:ilvl w:val="0"/>
          <w:numId w:val="6"/>
        </w:numPr>
        <w:ind w:right="720"/>
        <w:jc w:val="both"/>
      </w:pPr>
      <w:r>
        <w:t>A rough model of the cryounit was used (i.e. details of inter</w:t>
      </w:r>
      <w:r w:rsidR="001010C2">
        <w:t>-</w:t>
      </w:r>
      <w:r>
        <w:t>cavity spacing, distances to flanges are probably close, but not exact</w:t>
      </w:r>
      <w:r w:rsidR="00464B23">
        <w:t>)</w:t>
      </w:r>
      <w:r>
        <w:t>.</w:t>
      </w:r>
    </w:p>
    <w:p w:rsidR="00464B23" w:rsidRDefault="00A27C98" w:rsidP="00150DE1">
      <w:pPr>
        <w:pStyle w:val="ListParagraph"/>
        <w:numPr>
          <w:ilvl w:val="0"/>
          <w:numId w:val="6"/>
        </w:numPr>
        <w:ind w:right="720"/>
        <w:jc w:val="both"/>
      </w:pPr>
      <w:r>
        <w:t>A thorough analysis requires a 3D model of the cavities. It is well known that t</w:t>
      </w:r>
      <w:r w:rsidR="00464B23">
        <w:t>rapp</w:t>
      </w:r>
      <w:r w:rsidR="00173BBC">
        <w:t>ed fields in cavity end groups can cause focusing (quadrupole and skew quadrupole) and steering (dipole</w:t>
      </w:r>
      <w:r w:rsidR="00464B23">
        <w:t>)</w:t>
      </w:r>
      <w:r>
        <w:t xml:space="preserve"> </w:t>
      </w:r>
      <w:r w:rsidR="00173BBC">
        <w:t>effects</w:t>
      </w:r>
      <w:r>
        <w:t xml:space="preserve"> [</w:t>
      </w:r>
      <w:r w:rsidR="004C2C6C">
        <w:t>12</w:t>
      </w:r>
      <w:r>
        <w:t>].</w:t>
      </w:r>
      <w:r w:rsidR="00464B23">
        <w:t xml:space="preserve"> </w:t>
      </w:r>
      <w:r w:rsidR="00C76845">
        <w:t>Y</w:t>
      </w:r>
      <w:r>
        <w:t xml:space="preserve">ears ago there was a study of the FEL injector using a 3D </w:t>
      </w:r>
      <w:r w:rsidR="00C15630">
        <w:t>Parmela</w:t>
      </w:r>
      <w:r>
        <w:t xml:space="preserve"> model</w:t>
      </w:r>
      <w:r w:rsidR="007A7561">
        <w:t xml:space="preserve"> [</w:t>
      </w:r>
      <w:r w:rsidR="004C2C6C">
        <w:t>13</w:t>
      </w:r>
      <w:r w:rsidR="007A7561">
        <w:t>]</w:t>
      </w:r>
      <w:r w:rsidR="00C76845">
        <w:t>. H</w:t>
      </w:r>
      <w:r>
        <w:t xml:space="preserve">owever the </w:t>
      </w:r>
      <w:r w:rsidR="00C76845">
        <w:t>principle owners of that deck have since left the laboratory.</w:t>
      </w:r>
    </w:p>
    <w:p w:rsidR="00C76845" w:rsidRDefault="00C76845" w:rsidP="00150DE1">
      <w:pPr>
        <w:pStyle w:val="ListParagraph"/>
        <w:numPr>
          <w:ilvl w:val="0"/>
          <w:numId w:val="6"/>
        </w:numPr>
        <w:ind w:right="720"/>
        <w:jc w:val="both"/>
      </w:pPr>
      <w:r>
        <w:t>It’s assumed that the emittance remains constant. Given the low energy of the beam and the aforementioned trapped fields, this is highly unlikely.</w:t>
      </w:r>
    </w:p>
    <w:p w:rsidR="003554C0" w:rsidRDefault="00C76845" w:rsidP="00150DE1">
      <w:pPr>
        <w:pStyle w:val="ListParagraph"/>
        <w:numPr>
          <w:ilvl w:val="0"/>
          <w:numId w:val="6"/>
        </w:numPr>
        <w:ind w:right="720"/>
        <w:jc w:val="both"/>
      </w:pPr>
      <w:r>
        <w:t xml:space="preserve">This did not include the effects from space charge (though a single run with </w:t>
      </w:r>
      <w:r w:rsidR="00464B23">
        <w:t xml:space="preserve">20 fC </w:t>
      </w:r>
      <w:r>
        <w:t xml:space="preserve">showed </w:t>
      </w:r>
      <w:r w:rsidR="00464B23">
        <w:t>negligible effect</w:t>
      </w:r>
      <w:r>
        <w:t xml:space="preserve"> on the results</w:t>
      </w:r>
      <w:r w:rsidR="00464B23">
        <w:t>)</w:t>
      </w:r>
      <w:r w:rsidR="003554C0">
        <w:t>.</w:t>
      </w:r>
    </w:p>
    <w:p w:rsidR="00464B23" w:rsidRPr="00D5561D" w:rsidRDefault="00464B23" w:rsidP="00FE01DA">
      <w:pPr>
        <w:jc w:val="both"/>
      </w:pPr>
    </w:p>
    <w:p w:rsidR="00925250" w:rsidRPr="00D168CB" w:rsidRDefault="00925250" w:rsidP="00FE01DA">
      <w:pPr>
        <w:jc w:val="both"/>
        <w:rPr>
          <w:b/>
          <w:sz w:val="28"/>
        </w:rPr>
      </w:pPr>
      <w:r w:rsidRPr="00D168CB">
        <w:rPr>
          <w:b/>
          <w:sz w:val="28"/>
        </w:rPr>
        <w:t>Summary</w:t>
      </w:r>
    </w:p>
    <w:p w:rsidR="00525CAA" w:rsidRDefault="00525CAA" w:rsidP="003300FC">
      <w:pPr>
        <w:jc w:val="both"/>
      </w:pPr>
    </w:p>
    <w:p w:rsidR="00243551" w:rsidRDefault="00525CAA" w:rsidP="00932FDA">
      <w:pPr>
        <w:ind w:firstLine="360"/>
        <w:jc w:val="both"/>
      </w:pPr>
      <w:r>
        <w:t xml:space="preserve">Beam Twiss parameters and emittance in both transverse planes have been measured at 5.487 MeV/c. Improved fitting of beam profiles was shown by using an asymmetric Gaussian. </w:t>
      </w:r>
      <w:r w:rsidR="009C28C7">
        <w:t xml:space="preserve">No attempt </w:t>
      </w:r>
      <w:r>
        <w:t>of error analysis has been made at this stage (we leave that as an exercise for the reader).</w:t>
      </w:r>
      <w:r w:rsidR="00932FDA">
        <w:t xml:space="preserve"> Additionally, using the measurements as a starting point, we made estimates of the beam properties at the entrance of the cryounit.</w:t>
      </w:r>
      <w:r w:rsidR="003554C0">
        <w:t xml:space="preserve"> Mo</w:t>
      </w:r>
      <w:r w:rsidR="00484F94">
        <w:t>re accurate results require</w:t>
      </w:r>
      <w:r w:rsidR="001010C2">
        <w:t xml:space="preserve"> further</w:t>
      </w:r>
      <w:r w:rsidR="003554C0">
        <w:t xml:space="preserve"> effort to model the 3D cavity effects.</w:t>
      </w:r>
    </w:p>
    <w:p w:rsidR="003554C0" w:rsidRDefault="003554C0" w:rsidP="00827BA8">
      <w:pPr>
        <w:rPr>
          <w:b/>
          <w:sz w:val="28"/>
          <w:szCs w:val="28"/>
        </w:rPr>
      </w:pPr>
    </w:p>
    <w:p w:rsidR="00827BA8" w:rsidRPr="00D168CB" w:rsidRDefault="00827BA8" w:rsidP="00827BA8">
      <w:pPr>
        <w:rPr>
          <w:b/>
          <w:sz w:val="28"/>
          <w:szCs w:val="28"/>
        </w:rPr>
      </w:pPr>
      <w:r w:rsidRPr="00D168CB">
        <w:rPr>
          <w:b/>
          <w:sz w:val="28"/>
          <w:szCs w:val="28"/>
        </w:rPr>
        <w:lastRenderedPageBreak/>
        <w:t>References</w:t>
      </w:r>
    </w:p>
    <w:p w:rsidR="00CD0789" w:rsidRPr="00D168CB" w:rsidRDefault="00CD0789" w:rsidP="00C5593D">
      <w:pPr>
        <w:jc w:val="both"/>
      </w:pPr>
    </w:p>
    <w:p w:rsidR="001B2CB4" w:rsidRDefault="004C2C6C" w:rsidP="00C5593D">
      <w:pPr>
        <w:ind w:left="720" w:hanging="720"/>
        <w:jc w:val="both"/>
      </w:pPr>
      <w:r>
        <w:t>[1</w:t>
      </w:r>
      <w:r w:rsidR="001B2CB4" w:rsidRPr="00D168CB">
        <w:t>]</w:t>
      </w:r>
      <w:r w:rsidR="001B2CB4" w:rsidRPr="00D168CB">
        <w:tab/>
        <w:t>M. Borland</w:t>
      </w:r>
      <w:r w:rsidR="00075F2B" w:rsidRPr="00D168CB">
        <w:t xml:space="preserve">, </w:t>
      </w:r>
      <w:r w:rsidR="00075F2B" w:rsidRPr="00D168CB">
        <w:rPr>
          <w:i/>
        </w:rPr>
        <w:t>“elegant: A Flexible SDDS-Compliant Code for Accelerator Simulation”,</w:t>
      </w:r>
      <w:r w:rsidR="00075F2B" w:rsidRPr="00D168CB">
        <w:t xml:space="preserve"> Advanced Photon Source LS-287 (2000).</w:t>
      </w:r>
    </w:p>
    <w:p w:rsidR="004A2371" w:rsidRDefault="004A2371" w:rsidP="00C5593D">
      <w:pPr>
        <w:jc w:val="both"/>
      </w:pPr>
    </w:p>
    <w:p w:rsidR="00A10033" w:rsidRDefault="00F06D60" w:rsidP="00C5593D">
      <w:pPr>
        <w:ind w:left="720" w:hanging="720"/>
        <w:jc w:val="both"/>
      </w:pPr>
      <w:r>
        <w:t>[</w:t>
      </w:r>
      <w:r w:rsidR="004C2C6C">
        <w:t>2</w:t>
      </w:r>
      <w:r w:rsidR="004A2371">
        <w:t>]</w:t>
      </w:r>
      <w:r w:rsidR="004A2371">
        <w:tab/>
      </w:r>
      <w:r w:rsidR="00684754">
        <w:t xml:space="preserve">J. Grames, </w:t>
      </w:r>
      <w:r w:rsidR="00684754" w:rsidRPr="00684754">
        <w:rPr>
          <w:i/>
        </w:rPr>
        <w:t>“</w:t>
      </w:r>
      <w:r w:rsidR="00684754">
        <w:rPr>
          <w:bCs/>
          <w:i/>
        </w:rPr>
        <w:t>PEPPo: Using a Polarized Electron Beam to Produce PPolarized P</w:t>
      </w:r>
      <w:r w:rsidR="00684754" w:rsidRPr="00684754">
        <w:rPr>
          <w:bCs/>
          <w:i/>
        </w:rPr>
        <w:t>ositrons</w:t>
      </w:r>
      <w:r w:rsidR="00684754" w:rsidRPr="00684754">
        <w:rPr>
          <w:i/>
        </w:rPr>
        <w:t xml:space="preserve">”, </w:t>
      </w:r>
      <w:r w:rsidR="00684754" w:rsidRPr="00684754">
        <w:t>Proceedings of the 2013 Workshop on Polarized Sources, Targets and Polarimetry</w:t>
      </w:r>
      <w:r w:rsidR="00684754">
        <w:t xml:space="preserve"> (2013). (</w:t>
      </w:r>
      <w:proofErr w:type="gramStart"/>
      <w:r w:rsidR="00684754">
        <w:t>see</w:t>
      </w:r>
      <w:proofErr w:type="gramEnd"/>
      <w:r w:rsidR="00684754">
        <w:t xml:space="preserve"> </w:t>
      </w:r>
      <w:hyperlink r:id="rId19" w:history="1">
        <w:r w:rsidR="00A10033" w:rsidRPr="00796629">
          <w:rPr>
            <w:rStyle w:val="Hyperlink"/>
          </w:rPr>
          <w:t>http://tinyurl.com/ntwb2n4</w:t>
        </w:r>
      </w:hyperlink>
      <w:r w:rsidR="00684754" w:rsidRPr="00684754">
        <w:rPr>
          <w:rStyle w:val="Hyperlink"/>
          <w:color w:val="000000" w:themeColor="text1"/>
          <w:u w:val="none"/>
        </w:rPr>
        <w:t>)</w:t>
      </w:r>
    </w:p>
    <w:p w:rsidR="000C4353" w:rsidRDefault="000C4353" w:rsidP="00C5593D">
      <w:pPr>
        <w:jc w:val="both"/>
      </w:pPr>
    </w:p>
    <w:p w:rsidR="004A2371" w:rsidRDefault="008B723C" w:rsidP="00C5593D">
      <w:pPr>
        <w:autoSpaceDE w:val="0"/>
        <w:autoSpaceDN w:val="0"/>
        <w:adjustRightInd w:val="0"/>
        <w:ind w:left="720" w:hanging="720"/>
        <w:jc w:val="both"/>
      </w:pPr>
      <w:r>
        <w:t>[</w:t>
      </w:r>
      <w:r w:rsidR="004C2C6C">
        <w:t>3</w:t>
      </w:r>
      <w:r w:rsidR="004A2371">
        <w:t>]</w:t>
      </w:r>
      <w:r w:rsidR="004A2371">
        <w:tab/>
      </w:r>
      <w:r w:rsidR="00C5593D">
        <w:t xml:space="preserve">C. Ugalde et al., </w:t>
      </w:r>
      <w:r w:rsidR="00C5593D" w:rsidRPr="00C5593D">
        <w:rPr>
          <w:i/>
        </w:rPr>
        <w:t xml:space="preserve">“Measurement of </w:t>
      </w:r>
      <w:proofErr w:type="gramStart"/>
      <w:r w:rsidR="00C5593D" w:rsidRPr="00C5593D">
        <w:rPr>
          <w:i/>
          <w:vertAlign w:val="superscript"/>
        </w:rPr>
        <w:t>16</w:t>
      </w:r>
      <w:r w:rsidR="00C5593D" w:rsidRPr="00C5593D">
        <w:rPr>
          <w:i/>
        </w:rPr>
        <w:t>O(</w:t>
      </w:r>
      <w:proofErr w:type="gramEnd"/>
      <w:r w:rsidR="00C5593D" w:rsidRPr="00C5593D">
        <w:rPr>
          <w:rFonts w:eastAsia="rtxmi"/>
          <w:i/>
        </w:rPr>
        <w:t>γ</w:t>
      </w:r>
      <w:r w:rsidR="00C5593D" w:rsidRPr="00C5593D">
        <w:rPr>
          <w:i/>
        </w:rPr>
        <w:t>,</w:t>
      </w:r>
      <w:r w:rsidR="00C5593D" w:rsidRPr="00C5593D">
        <w:rPr>
          <w:rFonts w:eastAsia="rtxmi"/>
          <w:i/>
        </w:rPr>
        <w:t>α</w:t>
      </w:r>
      <w:r w:rsidR="00C5593D" w:rsidRPr="00C5593D">
        <w:rPr>
          <w:i/>
        </w:rPr>
        <w:t>)</w:t>
      </w:r>
      <w:r w:rsidR="00C5593D" w:rsidRPr="00C5593D">
        <w:rPr>
          <w:i/>
          <w:vertAlign w:val="superscript"/>
        </w:rPr>
        <w:t>12</w:t>
      </w:r>
      <w:r w:rsidR="00C5593D" w:rsidRPr="00C5593D">
        <w:rPr>
          <w:i/>
        </w:rPr>
        <w:t>C with a Bubble Chamber and a Bremsstrahlung Beam”,</w:t>
      </w:r>
      <w:r w:rsidR="00C5593D">
        <w:t xml:space="preserve"> PAC proposal (2013).</w:t>
      </w:r>
      <w:r w:rsidR="00C5593D" w:rsidRPr="00C5593D">
        <w:t xml:space="preserve"> (</w:t>
      </w:r>
      <w:proofErr w:type="gramStart"/>
      <w:r w:rsidR="00292672">
        <w:t>see</w:t>
      </w:r>
      <w:proofErr w:type="gramEnd"/>
      <w:r w:rsidR="00292672">
        <w:t xml:space="preserve"> </w:t>
      </w:r>
      <w:hyperlink r:id="rId20" w:history="1">
        <w:r w:rsidR="00292672" w:rsidRPr="005476CA">
          <w:rPr>
            <w:rStyle w:val="Hyperlink"/>
          </w:rPr>
          <w:t>http://tinyurl.com/nsph5ce</w:t>
        </w:r>
      </w:hyperlink>
      <w:r w:rsidR="00C5593D">
        <w:t>)</w:t>
      </w:r>
    </w:p>
    <w:p w:rsidR="008B723C" w:rsidRDefault="008B723C" w:rsidP="00C5593D">
      <w:pPr>
        <w:jc w:val="both"/>
      </w:pPr>
    </w:p>
    <w:p w:rsidR="008B723C" w:rsidRDefault="008B723C" w:rsidP="00C5593D">
      <w:pPr>
        <w:ind w:left="720" w:hanging="720"/>
        <w:jc w:val="both"/>
      </w:pPr>
      <w:proofErr w:type="gramStart"/>
      <w:r>
        <w:t>[</w:t>
      </w:r>
      <w:r w:rsidR="004C2C6C">
        <w:t>4</w:t>
      </w:r>
      <w:r>
        <w:t>]</w:t>
      </w:r>
      <w:r>
        <w:tab/>
        <w:t xml:space="preserve">A. Freyberger, </w:t>
      </w:r>
      <w:r w:rsidRPr="000C4353">
        <w:rPr>
          <w:i/>
        </w:rPr>
        <w:t>“Wire Scanner Response”</w:t>
      </w:r>
      <w:r>
        <w:t>, Jefferson Lab Tech Note 14-002 (2014).</w:t>
      </w:r>
      <w:proofErr w:type="gramEnd"/>
    </w:p>
    <w:p w:rsidR="008B723C" w:rsidRDefault="008B723C" w:rsidP="00C5593D">
      <w:pPr>
        <w:ind w:left="720" w:hanging="720"/>
        <w:jc w:val="both"/>
      </w:pPr>
    </w:p>
    <w:p w:rsidR="0002662F" w:rsidRDefault="0002662F" w:rsidP="00C5593D">
      <w:pPr>
        <w:ind w:left="720" w:hanging="720"/>
        <w:jc w:val="both"/>
      </w:pPr>
      <w:r>
        <w:t>[</w:t>
      </w:r>
      <w:r w:rsidR="004C2C6C">
        <w:t>5</w:t>
      </w:r>
      <w:r>
        <w:t>]</w:t>
      </w:r>
      <w:r>
        <w:tab/>
        <w:t xml:space="preserve">F.-J. </w:t>
      </w:r>
      <w:proofErr w:type="gramStart"/>
      <w:r>
        <w:t xml:space="preserve">Decker, </w:t>
      </w:r>
      <w:r w:rsidRPr="00E93656">
        <w:rPr>
          <w:i/>
        </w:rPr>
        <w:t>“Beam Distributions Beyond RMS”</w:t>
      </w:r>
      <w:r>
        <w:t>, SLAC-PUB-6684 (1994).</w:t>
      </w:r>
      <w:proofErr w:type="gramEnd"/>
    </w:p>
    <w:p w:rsidR="00A4695A" w:rsidRDefault="00A4695A" w:rsidP="00C5593D">
      <w:pPr>
        <w:jc w:val="both"/>
      </w:pPr>
    </w:p>
    <w:p w:rsidR="00780E37" w:rsidRPr="00780E37" w:rsidRDefault="00EC24C4" w:rsidP="00C5593D">
      <w:pPr>
        <w:ind w:left="720" w:hanging="720"/>
        <w:jc w:val="both"/>
      </w:pPr>
      <w:proofErr w:type="gramStart"/>
      <w:r>
        <w:t>[</w:t>
      </w:r>
      <w:r w:rsidR="004C2C6C">
        <w:t>6</w:t>
      </w:r>
      <w:r w:rsidR="00A4695A">
        <w:t>]</w:t>
      </w:r>
      <w:r w:rsidR="00A4695A">
        <w:tab/>
      </w:r>
      <w:r w:rsidR="00780E37">
        <w:t xml:space="preserve">C. Tennant, </w:t>
      </w:r>
      <w:r w:rsidR="00780E37" w:rsidRPr="00780E37">
        <w:rPr>
          <w:i/>
        </w:rPr>
        <w:t>“Analysis of Emittance Measurements of the Energy-Recovered Beam in CEBAF-ER”,</w:t>
      </w:r>
      <w:r w:rsidR="00780E37">
        <w:t xml:space="preserve"> Jefferson Lab Tech Note 03-044 (2003).</w:t>
      </w:r>
      <w:proofErr w:type="gramEnd"/>
    </w:p>
    <w:p w:rsidR="003E666F" w:rsidRDefault="003E666F" w:rsidP="00C5593D">
      <w:pPr>
        <w:jc w:val="both"/>
      </w:pPr>
    </w:p>
    <w:p w:rsidR="00A4695A" w:rsidRDefault="00EC24C4" w:rsidP="00C5593D">
      <w:pPr>
        <w:jc w:val="both"/>
      </w:pPr>
      <w:r>
        <w:t>[</w:t>
      </w:r>
      <w:r w:rsidR="004C2C6C">
        <w:t>7</w:t>
      </w:r>
      <w:r w:rsidR="00780E37">
        <w:t>]</w:t>
      </w:r>
      <w:r w:rsidR="00780E37">
        <w:tab/>
        <w:t>Courtesy D. Douglas</w:t>
      </w:r>
    </w:p>
    <w:p w:rsidR="00A4695A" w:rsidRDefault="00A4695A" w:rsidP="00C5593D">
      <w:pPr>
        <w:jc w:val="both"/>
      </w:pPr>
    </w:p>
    <w:p w:rsidR="00A4695A" w:rsidRDefault="00C822A3" w:rsidP="00C5593D">
      <w:pPr>
        <w:jc w:val="both"/>
      </w:pPr>
      <w:r>
        <w:t>[</w:t>
      </w:r>
      <w:r w:rsidR="004C2C6C">
        <w:t>8</w:t>
      </w:r>
      <w:r w:rsidR="00A4695A">
        <w:t>]</w:t>
      </w:r>
      <w:r w:rsidR="00A4695A">
        <w:tab/>
      </w:r>
      <w:hyperlink r:id="rId21" w:history="1">
        <w:r w:rsidRPr="00102993">
          <w:rPr>
            <w:rStyle w:val="Hyperlink"/>
          </w:rPr>
          <w:t>http://tinyurl.com/lzhdkcn</w:t>
        </w:r>
      </w:hyperlink>
    </w:p>
    <w:p w:rsidR="007A7561" w:rsidRDefault="007A7561" w:rsidP="00C5593D">
      <w:pPr>
        <w:jc w:val="both"/>
      </w:pPr>
    </w:p>
    <w:p w:rsidR="00C42993" w:rsidRDefault="00C42993" w:rsidP="00C5593D">
      <w:pPr>
        <w:jc w:val="both"/>
      </w:pPr>
      <w:r>
        <w:t>[</w:t>
      </w:r>
      <w:r w:rsidR="004C2C6C">
        <w:t>9</w:t>
      </w:r>
      <w:r>
        <w:t>]</w:t>
      </w:r>
      <w:r>
        <w:tab/>
      </w:r>
      <w:proofErr w:type="gramStart"/>
      <w:r w:rsidR="005C17AD">
        <w:t>see</w:t>
      </w:r>
      <w:proofErr w:type="gramEnd"/>
      <w:r w:rsidR="005C17AD">
        <w:t xml:space="preserve"> ELOG #3264002 (</w:t>
      </w:r>
      <w:hyperlink r:id="rId22" w:history="1">
        <w:r w:rsidR="005C17AD">
          <w:rPr>
            <w:rStyle w:val="Hyperlink"/>
          </w:rPr>
          <w:t>https://logbooks.jlab.org/entry/3264002</w:t>
        </w:r>
      </w:hyperlink>
      <w:r w:rsidR="005C17AD">
        <w:t>)</w:t>
      </w:r>
    </w:p>
    <w:p w:rsidR="007A7561" w:rsidRDefault="007A7561" w:rsidP="00C5593D">
      <w:pPr>
        <w:jc w:val="both"/>
      </w:pPr>
    </w:p>
    <w:p w:rsidR="007A7561" w:rsidRDefault="007A7561" w:rsidP="00C5593D">
      <w:pPr>
        <w:jc w:val="both"/>
      </w:pPr>
      <w:r>
        <w:t>[</w:t>
      </w:r>
      <w:r w:rsidR="004C2C6C">
        <w:t>10</w:t>
      </w:r>
      <w:r>
        <w:t>]</w:t>
      </w:r>
      <w:r>
        <w:tab/>
      </w:r>
      <w:r w:rsidR="004975F3">
        <w:t xml:space="preserve">L. Young, </w:t>
      </w:r>
      <w:r w:rsidR="00916C2E" w:rsidRPr="00916C2E">
        <w:rPr>
          <w:i/>
        </w:rPr>
        <w:t>“Parmela Documentation”</w:t>
      </w:r>
      <w:r w:rsidR="00916C2E" w:rsidRPr="00916C2E">
        <w:t xml:space="preserve">, </w:t>
      </w:r>
      <w:r w:rsidR="004975F3">
        <w:t>LANL LA-UR-96-1835 (2005).</w:t>
      </w:r>
    </w:p>
    <w:p w:rsidR="00C42993" w:rsidRDefault="00C42993" w:rsidP="00C5593D">
      <w:pPr>
        <w:jc w:val="both"/>
      </w:pPr>
    </w:p>
    <w:p w:rsidR="00C42993" w:rsidRDefault="00C42993" w:rsidP="00C5593D">
      <w:pPr>
        <w:jc w:val="both"/>
      </w:pPr>
      <w:r>
        <w:t>[</w:t>
      </w:r>
      <w:r w:rsidR="004C2C6C">
        <w:t>11</w:t>
      </w:r>
      <w:r>
        <w:t>]</w:t>
      </w:r>
      <w:r>
        <w:tab/>
        <w:t xml:space="preserve">Y. Wang, </w:t>
      </w:r>
      <w:r w:rsidRPr="00C42993">
        <w:rPr>
          <w:i/>
        </w:rPr>
        <w:t>private communication</w:t>
      </w:r>
      <w:r>
        <w:t xml:space="preserve"> (2014).</w:t>
      </w:r>
    </w:p>
    <w:p w:rsidR="003C7008" w:rsidRDefault="003C7008" w:rsidP="00C5593D">
      <w:pPr>
        <w:ind w:left="810" w:hanging="810"/>
        <w:jc w:val="both"/>
      </w:pPr>
    </w:p>
    <w:p w:rsidR="003C7008" w:rsidRDefault="003C7008" w:rsidP="00C5593D">
      <w:pPr>
        <w:ind w:left="810" w:hanging="810"/>
        <w:jc w:val="both"/>
      </w:pPr>
      <w:r>
        <w:t>[</w:t>
      </w:r>
      <w:r w:rsidR="004C2C6C">
        <w:t>12</w:t>
      </w:r>
      <w:r>
        <w:t>]</w:t>
      </w:r>
      <w:r>
        <w:tab/>
      </w:r>
      <w:r w:rsidR="00453E6C">
        <w:t xml:space="preserve">Z. Li, </w:t>
      </w:r>
      <w:r w:rsidR="00453E6C" w:rsidRPr="00453E6C">
        <w:rPr>
          <w:i/>
        </w:rPr>
        <w:t>“Beam Dynamics in the CEBAF Superconducting Cavities”</w:t>
      </w:r>
      <w:r w:rsidR="00453E6C">
        <w:t xml:space="preserve">, Ph.D. Thesis, </w:t>
      </w:r>
      <w:proofErr w:type="gramStart"/>
      <w:r w:rsidR="00453E6C">
        <w:t>The</w:t>
      </w:r>
      <w:proofErr w:type="gramEnd"/>
      <w:r w:rsidR="00453E6C">
        <w:t xml:space="preserve"> College of William &amp; Mary (1995).</w:t>
      </w:r>
    </w:p>
    <w:p w:rsidR="003C7008" w:rsidRDefault="003C7008" w:rsidP="00C5593D">
      <w:pPr>
        <w:jc w:val="both"/>
      </w:pPr>
    </w:p>
    <w:p w:rsidR="003C7008" w:rsidRDefault="003C7008" w:rsidP="00C5593D">
      <w:pPr>
        <w:jc w:val="both"/>
      </w:pPr>
      <w:r>
        <w:t>[</w:t>
      </w:r>
      <w:r w:rsidR="004C2C6C">
        <w:t>13</w:t>
      </w:r>
      <w:r>
        <w:t>]</w:t>
      </w:r>
      <w:r>
        <w:tab/>
        <w:t xml:space="preserve">D. Douglas and C. Hernandez-Garcia, </w:t>
      </w:r>
      <w:r w:rsidRPr="003C7008">
        <w:rPr>
          <w:i/>
        </w:rPr>
        <w:t>private communication</w:t>
      </w:r>
      <w:r>
        <w:t xml:space="preserve"> (2014).</w:t>
      </w:r>
    </w:p>
    <w:p w:rsidR="002943E8" w:rsidRDefault="002943E8">
      <w:pPr>
        <w:rPr>
          <w:b/>
          <w:sz w:val="28"/>
        </w:rPr>
      </w:pPr>
      <w:r>
        <w:rPr>
          <w:b/>
          <w:sz w:val="28"/>
        </w:rPr>
        <w:br w:type="page"/>
      </w:r>
    </w:p>
    <w:p w:rsidR="00441F7A" w:rsidRDefault="00441F7A" w:rsidP="00C356B7">
      <w:pPr>
        <w:rPr>
          <w:b/>
          <w:sz w:val="28"/>
        </w:rPr>
      </w:pPr>
      <w:r w:rsidRPr="00441F7A">
        <w:rPr>
          <w:b/>
          <w:sz w:val="28"/>
        </w:rPr>
        <w:lastRenderedPageBreak/>
        <w:t>Appendix A: Beam Size Data</w:t>
      </w:r>
    </w:p>
    <w:p w:rsidR="002943E8" w:rsidRPr="002943E8" w:rsidRDefault="002943E8" w:rsidP="00C356B7"/>
    <w:p w:rsidR="002943E8" w:rsidRPr="00D94B87" w:rsidRDefault="002943E8" w:rsidP="00CA7079">
      <w:pPr>
        <w:ind w:firstLine="360"/>
        <w:jc w:val="both"/>
      </w:pPr>
      <w:r w:rsidRPr="00D94B87">
        <w:t xml:space="preserve">For completeness a table of the extracted beam sizes is given </w:t>
      </w:r>
      <w:r w:rsidR="00520327" w:rsidRPr="00D94B87">
        <w:t>below</w:t>
      </w:r>
      <w:r w:rsidRPr="00D94B87">
        <w:t>.</w:t>
      </w:r>
      <w:r w:rsidR="00253FD4" w:rsidRPr="00D94B87">
        <w:t xml:space="preserve"> The red entries denote computed rms values </w:t>
      </w:r>
      <w:r w:rsidR="00CA7079" w:rsidRPr="00D94B87">
        <w:t xml:space="preserve">from the Harp Analyzer tool </w:t>
      </w:r>
      <w:r w:rsidR="00253FD4" w:rsidRPr="00D94B87">
        <w:t xml:space="preserve">(it would not report sigma values). The last three horizontal measurements (denoted in gray) </w:t>
      </w:r>
      <w:r w:rsidR="00CA7079" w:rsidRPr="00D94B87">
        <w:t xml:space="preserve">under the “Gaussian” and “Asymmetric Gaussian” columns </w:t>
      </w:r>
      <w:r w:rsidR="00253FD4" w:rsidRPr="00D94B87">
        <w:t xml:space="preserve">were </w:t>
      </w:r>
      <w:r w:rsidR="00D94B87">
        <w:t>computed</w:t>
      </w:r>
      <w:r w:rsidR="00253FD4" w:rsidRPr="00D94B87">
        <w:t xml:space="preserve"> </w:t>
      </w:r>
      <w:r w:rsidR="00BF41CD" w:rsidRPr="00D94B87">
        <w:t>when</w:t>
      </w:r>
      <w:r w:rsidR="00253FD4" w:rsidRPr="00D94B87">
        <w:t xml:space="preserve"> the horizontal profile was merged with the </w:t>
      </w:r>
      <w:r w:rsidR="00CA7079" w:rsidRPr="00D94B87">
        <w:t xml:space="preserve">adjacent profile </w:t>
      </w:r>
      <w:r w:rsidR="00253FD4" w:rsidRPr="00D94B87">
        <w:t>(see Fig. A1).</w:t>
      </w:r>
      <w:r w:rsidR="00BF41CD" w:rsidRPr="00D94B87">
        <w:t xml:space="preserve"> Since the horizontal scan </w:t>
      </w:r>
      <w:r w:rsidR="00C95D79" w:rsidRPr="00D94B87">
        <w:t xml:space="preserve">already </w:t>
      </w:r>
      <w:r w:rsidR="00BF41CD" w:rsidRPr="00D94B87">
        <w:t xml:space="preserve">had sufficient data and went through a </w:t>
      </w:r>
      <w:r w:rsidR="00C95D79" w:rsidRPr="00D94B87">
        <w:t xml:space="preserve">well-defined </w:t>
      </w:r>
      <w:r w:rsidR="00BF41CD" w:rsidRPr="00D94B87">
        <w:t xml:space="preserve">minimum, these </w:t>
      </w:r>
      <w:r w:rsidR="00CA7079" w:rsidRPr="00D94B87">
        <w:t>partial fits were omitted in the analysis.</w:t>
      </w:r>
    </w:p>
    <w:p w:rsidR="00441F7A" w:rsidRDefault="00441F7A" w:rsidP="00C356B7"/>
    <w:p w:rsidR="002943E8" w:rsidRPr="002943E8" w:rsidRDefault="002943E8" w:rsidP="002943E8">
      <w:pPr>
        <w:ind w:left="720" w:right="720"/>
        <w:rPr>
          <w:sz w:val="20"/>
        </w:rPr>
      </w:pPr>
      <w:r w:rsidRPr="002943E8">
        <w:rPr>
          <w:sz w:val="20"/>
        </w:rPr>
        <w:t>Table A</w:t>
      </w:r>
      <w:r w:rsidR="00253FD4">
        <w:rPr>
          <w:sz w:val="20"/>
        </w:rPr>
        <w:t>1</w:t>
      </w:r>
      <w:r w:rsidRPr="002943E8">
        <w:rPr>
          <w:sz w:val="20"/>
        </w:rPr>
        <w:t xml:space="preserve">: </w:t>
      </w:r>
      <w:r w:rsidR="008C7638">
        <w:rPr>
          <w:sz w:val="20"/>
        </w:rPr>
        <w:t xml:space="preserve">Extracted horizontal and vertical beam sizes during a scan of MQJ0L02. </w:t>
      </w:r>
    </w:p>
    <w:p w:rsidR="002943E8" w:rsidRPr="002943E8" w:rsidRDefault="002943E8" w:rsidP="00C356B7">
      <w:pPr>
        <w:rPr>
          <w:sz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0"/>
        <w:gridCol w:w="833"/>
        <w:gridCol w:w="966"/>
        <w:gridCol w:w="811"/>
        <w:gridCol w:w="811"/>
        <w:gridCol w:w="811"/>
        <w:gridCol w:w="811"/>
        <w:gridCol w:w="1050"/>
        <w:gridCol w:w="1050"/>
      </w:tblGrid>
      <w:tr w:rsidR="001577E1" w:rsidRPr="001577E1" w:rsidTr="002943E8">
        <w:tc>
          <w:tcPr>
            <w:tcW w:w="0" w:type="auto"/>
            <w:vMerge w:val="restart"/>
            <w:vAlign w:val="bottom"/>
          </w:tcPr>
          <w:p w:rsidR="001577E1" w:rsidRPr="001577E1" w:rsidRDefault="001577E1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1577E1" w:rsidRPr="001577E1" w:rsidRDefault="001577E1">
            <w:pPr>
              <w:jc w:val="center"/>
              <w:rPr>
                <w:b/>
                <w:color w:val="000000"/>
                <w:sz w:val="20"/>
              </w:rPr>
            </w:pPr>
            <w:r w:rsidRPr="001577E1">
              <w:rPr>
                <w:b/>
                <w:color w:val="000000"/>
                <w:sz w:val="20"/>
              </w:rPr>
              <w:t>MQJ0L02</w:t>
            </w:r>
          </w:p>
        </w:tc>
        <w:tc>
          <w:tcPr>
            <w:tcW w:w="0" w:type="auto"/>
            <w:gridSpan w:val="2"/>
            <w:vAlign w:val="bottom"/>
          </w:tcPr>
          <w:p w:rsidR="001577E1" w:rsidRPr="001577E1" w:rsidRDefault="001577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577E1">
              <w:rPr>
                <w:b/>
                <w:bCs/>
                <w:color w:val="000000"/>
                <w:sz w:val="20"/>
              </w:rPr>
              <w:t>Harp Analyzer</w:t>
            </w:r>
          </w:p>
        </w:tc>
        <w:tc>
          <w:tcPr>
            <w:tcW w:w="0" w:type="auto"/>
            <w:gridSpan w:val="2"/>
            <w:vAlign w:val="bottom"/>
          </w:tcPr>
          <w:p w:rsidR="001577E1" w:rsidRPr="001577E1" w:rsidRDefault="001577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577E1">
              <w:rPr>
                <w:b/>
                <w:bCs/>
                <w:color w:val="000000"/>
                <w:sz w:val="20"/>
              </w:rPr>
              <w:t>Gaussian</w:t>
            </w:r>
          </w:p>
        </w:tc>
        <w:tc>
          <w:tcPr>
            <w:tcW w:w="0" w:type="auto"/>
            <w:gridSpan w:val="2"/>
            <w:vAlign w:val="bottom"/>
          </w:tcPr>
          <w:p w:rsidR="001577E1" w:rsidRPr="001577E1" w:rsidRDefault="001577E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577E1">
              <w:rPr>
                <w:b/>
                <w:bCs/>
                <w:color w:val="000000"/>
                <w:sz w:val="20"/>
              </w:rPr>
              <w:t>Asymmetric Gaussian</w:t>
            </w:r>
          </w:p>
        </w:tc>
      </w:tr>
      <w:tr w:rsidR="001577E1" w:rsidRPr="001577E1" w:rsidTr="002943E8">
        <w:tc>
          <w:tcPr>
            <w:tcW w:w="0" w:type="auto"/>
            <w:vMerge/>
            <w:vAlign w:val="bottom"/>
          </w:tcPr>
          <w:p w:rsidR="001577E1" w:rsidRPr="001577E1" w:rsidRDefault="001577E1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m</w:t>
            </w:r>
            <w:r w:rsidRPr="001577E1">
              <w:rPr>
                <w:color w:val="000000"/>
                <w:sz w:val="20"/>
                <w:vertAlign w:val="superscript"/>
              </w:rPr>
              <w:t>-2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Gauss</w:t>
            </w:r>
          </w:p>
        </w:tc>
        <w:tc>
          <w:tcPr>
            <w:tcW w:w="0" w:type="auto"/>
            <w:vAlign w:val="bottom"/>
          </w:tcPr>
          <w:p w:rsidR="001577E1" w:rsidRPr="001577E1" w:rsidRDefault="009E40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x </w:t>
            </w:r>
            <w:r w:rsidRPr="009E402A">
              <w:rPr>
                <w:bCs/>
                <w:color w:val="000000"/>
                <w:sz w:val="20"/>
              </w:rPr>
              <w:t>(mm)</w:t>
            </w:r>
          </w:p>
        </w:tc>
        <w:tc>
          <w:tcPr>
            <w:tcW w:w="0" w:type="auto"/>
            <w:vAlign w:val="bottom"/>
          </w:tcPr>
          <w:p w:rsidR="001577E1" w:rsidRPr="001577E1" w:rsidRDefault="009E40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y </w:t>
            </w:r>
            <w:r w:rsidRPr="009E402A">
              <w:rPr>
                <w:bCs/>
                <w:color w:val="000000"/>
                <w:sz w:val="20"/>
              </w:rPr>
              <w:t>(mm)</w:t>
            </w:r>
          </w:p>
        </w:tc>
        <w:tc>
          <w:tcPr>
            <w:tcW w:w="0" w:type="auto"/>
            <w:vAlign w:val="bottom"/>
          </w:tcPr>
          <w:p w:rsidR="001577E1" w:rsidRPr="001577E1" w:rsidRDefault="009E40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x </w:t>
            </w:r>
            <w:r w:rsidRPr="009E402A">
              <w:rPr>
                <w:bCs/>
                <w:color w:val="000000"/>
                <w:sz w:val="20"/>
              </w:rPr>
              <w:t>(mm)</w:t>
            </w:r>
          </w:p>
        </w:tc>
        <w:tc>
          <w:tcPr>
            <w:tcW w:w="0" w:type="auto"/>
            <w:vAlign w:val="bottom"/>
          </w:tcPr>
          <w:p w:rsidR="001577E1" w:rsidRPr="001577E1" w:rsidRDefault="009E40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y </w:t>
            </w:r>
            <w:r w:rsidRPr="009E402A">
              <w:rPr>
                <w:bCs/>
                <w:color w:val="000000"/>
                <w:sz w:val="20"/>
              </w:rPr>
              <w:t>(mm)</w:t>
            </w:r>
          </w:p>
        </w:tc>
        <w:tc>
          <w:tcPr>
            <w:tcW w:w="0" w:type="auto"/>
            <w:vAlign w:val="bottom"/>
          </w:tcPr>
          <w:p w:rsidR="001577E1" w:rsidRPr="001577E1" w:rsidRDefault="009E40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x </w:t>
            </w:r>
            <w:r w:rsidRPr="009E402A">
              <w:rPr>
                <w:bCs/>
                <w:color w:val="000000"/>
                <w:sz w:val="20"/>
              </w:rPr>
              <w:t>(mm)</w:t>
            </w:r>
          </w:p>
        </w:tc>
        <w:tc>
          <w:tcPr>
            <w:tcW w:w="0" w:type="auto"/>
            <w:vAlign w:val="bottom"/>
          </w:tcPr>
          <w:p w:rsidR="001577E1" w:rsidRPr="001577E1" w:rsidRDefault="009E40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y </w:t>
            </w:r>
            <w:r w:rsidRPr="009E402A">
              <w:rPr>
                <w:bCs/>
                <w:color w:val="000000"/>
                <w:sz w:val="20"/>
              </w:rPr>
              <w:t>(mm)</w:t>
            </w:r>
          </w:p>
        </w:tc>
      </w:tr>
      <w:tr w:rsidR="001577E1" w:rsidRPr="001577E1" w:rsidTr="002943E8">
        <w:tc>
          <w:tcPr>
            <w:tcW w:w="0" w:type="auto"/>
            <w:vAlign w:val="bottom"/>
          </w:tcPr>
          <w:p w:rsidR="001577E1" w:rsidRPr="001577E1" w:rsidRDefault="001577E1">
            <w:pPr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IHA0L03 4:37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5.4637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150.0008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FF0000"/>
                <w:sz w:val="20"/>
              </w:rPr>
            </w:pPr>
            <w:r w:rsidRPr="001577E1">
              <w:rPr>
                <w:color w:val="FF0000"/>
                <w:sz w:val="20"/>
              </w:rPr>
              <w:t>1.5707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FF0000"/>
                <w:sz w:val="20"/>
              </w:rPr>
            </w:pPr>
            <w:r w:rsidRPr="001577E1">
              <w:rPr>
                <w:color w:val="FF0000"/>
                <w:sz w:val="20"/>
              </w:rPr>
              <w:t>1.6567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1.6520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1.7134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1.6884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1.7154</w:t>
            </w:r>
          </w:p>
        </w:tc>
      </w:tr>
      <w:tr w:rsidR="001577E1" w:rsidRPr="001577E1" w:rsidTr="002943E8">
        <w:tc>
          <w:tcPr>
            <w:tcW w:w="0" w:type="auto"/>
            <w:vAlign w:val="bottom"/>
          </w:tcPr>
          <w:p w:rsidR="001577E1" w:rsidRPr="001577E1" w:rsidRDefault="001577E1">
            <w:pPr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IHA0L03 4:39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4.5531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125.0011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1.1926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1.5056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1.2640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1.5429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1.2953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1.5468</w:t>
            </w:r>
          </w:p>
        </w:tc>
      </w:tr>
      <w:tr w:rsidR="001577E1" w:rsidRPr="001577E1" w:rsidTr="002943E8">
        <w:tc>
          <w:tcPr>
            <w:tcW w:w="0" w:type="auto"/>
            <w:vAlign w:val="bottom"/>
          </w:tcPr>
          <w:p w:rsidR="001577E1" w:rsidRPr="001577E1" w:rsidRDefault="001577E1">
            <w:pPr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IHA0L03 4:40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3.6425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100.0012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0.8858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1.4093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0.8964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1.3673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0.9154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1.3705</w:t>
            </w:r>
          </w:p>
        </w:tc>
      </w:tr>
      <w:tr w:rsidR="001577E1" w:rsidRPr="001577E1" w:rsidTr="002943E8">
        <w:tc>
          <w:tcPr>
            <w:tcW w:w="0" w:type="auto"/>
            <w:vAlign w:val="bottom"/>
          </w:tcPr>
          <w:p w:rsidR="001577E1" w:rsidRPr="001577E1" w:rsidRDefault="001577E1">
            <w:pPr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IHA0L03 4:42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2.7318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74.9988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0.6000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1.1623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0.6059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1.1766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0.6105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1.1780</w:t>
            </w:r>
          </w:p>
        </w:tc>
      </w:tr>
      <w:tr w:rsidR="001577E1" w:rsidRPr="001577E1" w:rsidTr="002943E8">
        <w:tc>
          <w:tcPr>
            <w:tcW w:w="0" w:type="auto"/>
            <w:vAlign w:val="bottom"/>
          </w:tcPr>
          <w:p w:rsidR="001577E1" w:rsidRPr="001577E1" w:rsidRDefault="001577E1">
            <w:pPr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IHA0L03 4:44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1.8212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49.9993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0.5095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0.9827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0.5140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0.9911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0.5166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0.9945</w:t>
            </w:r>
          </w:p>
        </w:tc>
      </w:tr>
      <w:tr w:rsidR="001577E1" w:rsidRPr="001577E1" w:rsidTr="002943E8">
        <w:tc>
          <w:tcPr>
            <w:tcW w:w="0" w:type="auto"/>
            <w:vAlign w:val="bottom"/>
          </w:tcPr>
          <w:p w:rsidR="001577E1" w:rsidRPr="001577E1" w:rsidRDefault="001577E1">
            <w:pPr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IHA0L03 4:45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0.8496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23.3249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0.7420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0.8222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0.7485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0.8372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0.7568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0.8412</w:t>
            </w:r>
          </w:p>
        </w:tc>
      </w:tr>
      <w:tr w:rsidR="001577E1" w:rsidRPr="001577E1" w:rsidTr="002943E8">
        <w:tc>
          <w:tcPr>
            <w:tcW w:w="0" w:type="auto"/>
            <w:vAlign w:val="bottom"/>
          </w:tcPr>
          <w:p w:rsidR="001577E1" w:rsidRPr="001577E1" w:rsidRDefault="001577E1">
            <w:pPr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IHA0L03 4:47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0.0000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0.0000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1.1070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0.7381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1.1225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0.7019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1.1289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0.7042</w:t>
            </w:r>
          </w:p>
        </w:tc>
      </w:tr>
      <w:tr w:rsidR="001577E1" w:rsidRPr="001577E1" w:rsidTr="002943E8">
        <w:tc>
          <w:tcPr>
            <w:tcW w:w="0" w:type="auto"/>
            <w:vAlign w:val="bottom"/>
          </w:tcPr>
          <w:p w:rsidR="001577E1" w:rsidRPr="001577E1" w:rsidRDefault="001577E1">
            <w:pPr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IHA0L03 4:49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-0.8496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-23.3249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FF0000"/>
                <w:sz w:val="20"/>
              </w:rPr>
            </w:pPr>
            <w:r w:rsidRPr="001577E1">
              <w:rPr>
                <w:color w:val="FF0000"/>
                <w:sz w:val="20"/>
              </w:rPr>
              <w:t>1.3563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FF0000"/>
                <w:sz w:val="20"/>
              </w:rPr>
            </w:pPr>
            <w:r w:rsidRPr="001577E1">
              <w:rPr>
                <w:color w:val="FF0000"/>
                <w:sz w:val="20"/>
              </w:rPr>
              <w:t>0.6938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1.5386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0.6745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1.5420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0.6751</w:t>
            </w:r>
          </w:p>
        </w:tc>
      </w:tr>
      <w:tr w:rsidR="001577E1" w:rsidRPr="001577E1" w:rsidTr="002943E8">
        <w:tc>
          <w:tcPr>
            <w:tcW w:w="0" w:type="auto"/>
            <w:vAlign w:val="bottom"/>
          </w:tcPr>
          <w:p w:rsidR="001577E1" w:rsidRPr="001577E1" w:rsidRDefault="001577E1">
            <w:pPr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IHA0L03 4:50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-1.6992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-46.6499</w:t>
            </w:r>
          </w:p>
        </w:tc>
        <w:tc>
          <w:tcPr>
            <w:tcW w:w="0" w:type="auto"/>
            <w:vAlign w:val="bottom"/>
          </w:tcPr>
          <w:p w:rsidR="001577E1" w:rsidRPr="001577E1" w:rsidRDefault="001577E1" w:rsidP="001577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---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0.6915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808080" w:themeColor="background1" w:themeShade="80"/>
                <w:sz w:val="20"/>
              </w:rPr>
            </w:pPr>
            <w:r w:rsidRPr="001577E1">
              <w:rPr>
                <w:color w:val="808080" w:themeColor="background1" w:themeShade="80"/>
                <w:sz w:val="20"/>
              </w:rPr>
              <w:t>2.0393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0.6930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808080" w:themeColor="background1" w:themeShade="80"/>
                <w:sz w:val="20"/>
              </w:rPr>
            </w:pPr>
            <w:r w:rsidRPr="001577E1">
              <w:rPr>
                <w:color w:val="808080" w:themeColor="background1" w:themeShade="80"/>
                <w:sz w:val="20"/>
              </w:rPr>
              <w:t>1.3750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0.6912</w:t>
            </w:r>
          </w:p>
        </w:tc>
      </w:tr>
      <w:tr w:rsidR="001577E1" w:rsidRPr="001577E1" w:rsidTr="002943E8">
        <w:tc>
          <w:tcPr>
            <w:tcW w:w="0" w:type="auto"/>
            <w:vAlign w:val="bottom"/>
          </w:tcPr>
          <w:p w:rsidR="001577E1" w:rsidRPr="001577E1" w:rsidRDefault="001577E1">
            <w:pPr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IHA0L03 4:52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-2.5488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-69.9748</w:t>
            </w:r>
          </w:p>
        </w:tc>
        <w:tc>
          <w:tcPr>
            <w:tcW w:w="0" w:type="auto"/>
            <w:vAlign w:val="bottom"/>
          </w:tcPr>
          <w:p w:rsidR="001577E1" w:rsidRPr="001577E1" w:rsidRDefault="001577E1" w:rsidP="001577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---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0.7836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808080" w:themeColor="background1" w:themeShade="80"/>
                <w:sz w:val="20"/>
              </w:rPr>
            </w:pPr>
            <w:r w:rsidRPr="001577E1">
              <w:rPr>
                <w:color w:val="808080" w:themeColor="background1" w:themeShade="80"/>
                <w:sz w:val="20"/>
              </w:rPr>
              <w:t>2.5853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0.7808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808080" w:themeColor="background1" w:themeShade="80"/>
                <w:sz w:val="20"/>
              </w:rPr>
            </w:pPr>
            <w:r w:rsidRPr="001577E1">
              <w:rPr>
                <w:color w:val="808080" w:themeColor="background1" w:themeShade="80"/>
                <w:sz w:val="20"/>
              </w:rPr>
              <w:t>1.8011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0.7800</w:t>
            </w:r>
          </w:p>
        </w:tc>
      </w:tr>
      <w:tr w:rsidR="001577E1" w:rsidRPr="001577E1" w:rsidTr="002943E8">
        <w:tc>
          <w:tcPr>
            <w:tcW w:w="0" w:type="auto"/>
            <w:vAlign w:val="bottom"/>
          </w:tcPr>
          <w:p w:rsidR="001577E1" w:rsidRPr="001577E1" w:rsidRDefault="001577E1">
            <w:pPr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IHA0L03 4:54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-3.3984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-93.2997</w:t>
            </w:r>
          </w:p>
        </w:tc>
        <w:tc>
          <w:tcPr>
            <w:tcW w:w="0" w:type="auto"/>
            <w:vAlign w:val="bottom"/>
          </w:tcPr>
          <w:p w:rsidR="001577E1" w:rsidRPr="001577E1" w:rsidRDefault="001577E1" w:rsidP="001577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---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0.8980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808080" w:themeColor="background1" w:themeShade="80"/>
                <w:sz w:val="20"/>
              </w:rPr>
            </w:pPr>
            <w:r w:rsidRPr="001577E1">
              <w:rPr>
                <w:color w:val="808080" w:themeColor="background1" w:themeShade="80"/>
                <w:sz w:val="20"/>
              </w:rPr>
              <w:t>3.1081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0.8622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808080" w:themeColor="background1" w:themeShade="80"/>
                <w:sz w:val="20"/>
              </w:rPr>
            </w:pPr>
            <w:r w:rsidRPr="001577E1">
              <w:rPr>
                <w:color w:val="808080" w:themeColor="background1" w:themeShade="80"/>
                <w:sz w:val="20"/>
              </w:rPr>
              <w:t>2.8122</w:t>
            </w:r>
          </w:p>
        </w:tc>
        <w:tc>
          <w:tcPr>
            <w:tcW w:w="0" w:type="auto"/>
            <w:vAlign w:val="bottom"/>
          </w:tcPr>
          <w:p w:rsidR="001577E1" w:rsidRPr="001577E1" w:rsidRDefault="001577E1">
            <w:pPr>
              <w:jc w:val="center"/>
              <w:rPr>
                <w:color w:val="000000"/>
                <w:sz w:val="20"/>
              </w:rPr>
            </w:pPr>
            <w:r w:rsidRPr="001577E1">
              <w:rPr>
                <w:color w:val="000000"/>
                <w:sz w:val="20"/>
              </w:rPr>
              <w:t>0.8641</w:t>
            </w:r>
          </w:p>
        </w:tc>
      </w:tr>
    </w:tbl>
    <w:p w:rsidR="00BF41CD" w:rsidRDefault="00BF41CD" w:rsidP="00C356B7"/>
    <w:p w:rsidR="00BF41CD" w:rsidRDefault="00BF41CD" w:rsidP="00BF41CD">
      <w:pPr>
        <w:jc w:val="center"/>
      </w:pPr>
      <w:r>
        <w:rPr>
          <w:noProof/>
        </w:rPr>
        <w:drawing>
          <wp:inline distT="0" distB="0" distL="0" distR="0" wp14:anchorId="4C3DE52B" wp14:editId="7D8D7B42">
            <wp:extent cx="5029200" cy="3107598"/>
            <wp:effectExtent l="0" t="0" r="0" b="0"/>
            <wp:docPr id="10" name="Picture 10" descr="C:\Users\tennant\Desktop\IHA0L03_2014-02-19_16_35\merg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nnant\Desktop\IHA0L03_2014-02-19_16_35\merged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10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1CD" w:rsidRPr="00BF41CD" w:rsidRDefault="00BF41CD" w:rsidP="00CA7079">
      <w:pPr>
        <w:jc w:val="both"/>
        <w:rPr>
          <w:sz w:val="16"/>
        </w:rPr>
      </w:pPr>
    </w:p>
    <w:p w:rsidR="00BF41CD" w:rsidRPr="00BF41CD" w:rsidRDefault="00BF41CD" w:rsidP="00CA7079">
      <w:pPr>
        <w:ind w:left="720" w:right="720"/>
        <w:jc w:val="both"/>
        <w:rPr>
          <w:sz w:val="20"/>
        </w:rPr>
      </w:pPr>
      <w:r w:rsidRPr="00BF41CD">
        <w:rPr>
          <w:sz w:val="20"/>
        </w:rPr>
        <w:t>Figure A1:</w:t>
      </w:r>
      <w:r>
        <w:rPr>
          <w:sz w:val="20"/>
        </w:rPr>
        <w:t xml:space="preserve"> Example fit of the horizontal profile when merged with adjacent peak. Though the fit looks reasonably good, adding the data point to the analysis skews the results (i.e. Twiss parameters).</w:t>
      </w:r>
    </w:p>
    <w:sectPr w:rsidR="00BF41CD" w:rsidRPr="00BF41CD" w:rsidSect="00CD2A80">
      <w:headerReference w:type="default" r:id="rId24"/>
      <w:footerReference w:type="even" r:id="rId25"/>
      <w:footerReference w:type="default" r:id="rId2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1F" w:rsidRDefault="0009411F">
      <w:r>
        <w:separator/>
      </w:r>
    </w:p>
  </w:endnote>
  <w:endnote w:type="continuationSeparator" w:id="0">
    <w:p w:rsidR="0009411F" w:rsidRDefault="0009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txm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47" w:rsidRDefault="00654407" w:rsidP="00827B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5B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B47" w:rsidRDefault="00D05B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47" w:rsidRDefault="00654407" w:rsidP="00827B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5B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3E3B">
      <w:rPr>
        <w:rStyle w:val="PageNumber"/>
        <w:noProof/>
      </w:rPr>
      <w:t>1</w:t>
    </w:r>
    <w:r>
      <w:rPr>
        <w:rStyle w:val="PageNumber"/>
      </w:rPr>
      <w:fldChar w:fldCharType="end"/>
    </w:r>
  </w:p>
  <w:p w:rsidR="00D05B47" w:rsidRDefault="00D05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1F" w:rsidRDefault="0009411F">
      <w:r>
        <w:separator/>
      </w:r>
    </w:p>
  </w:footnote>
  <w:footnote w:type="continuationSeparator" w:id="0">
    <w:p w:rsidR="0009411F" w:rsidRDefault="00094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47" w:rsidRDefault="001010C2" w:rsidP="00DD477D">
    <w:pPr>
      <w:pStyle w:val="Header"/>
      <w:jc w:val="right"/>
    </w:pPr>
    <w:r>
      <w:t>2</w:t>
    </w:r>
    <w:r w:rsidR="00CA4CC3">
      <w:t>7</w:t>
    </w:r>
    <w:r w:rsidR="00CD0789">
      <w:t xml:space="preserve"> March 2014</w:t>
    </w:r>
  </w:p>
  <w:p w:rsidR="00CD0789" w:rsidRDefault="00D05B47" w:rsidP="00CD0789">
    <w:pPr>
      <w:pStyle w:val="Header"/>
      <w:jc w:val="right"/>
    </w:pPr>
    <w:r>
      <w:t>JLAB-TN-</w:t>
    </w:r>
    <w:r w:rsidR="00CD0789">
      <w:t>14</w:t>
    </w:r>
    <w:r w:rsidR="00221121">
      <w:t>-</w:t>
    </w:r>
    <w:r w:rsidR="0020780E">
      <w:t>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2FD"/>
    <w:multiLevelType w:val="hybridMultilevel"/>
    <w:tmpl w:val="ABC40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3706F"/>
    <w:multiLevelType w:val="hybridMultilevel"/>
    <w:tmpl w:val="64742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B57FEE"/>
    <w:multiLevelType w:val="hybridMultilevel"/>
    <w:tmpl w:val="D8D894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EB1B70"/>
    <w:multiLevelType w:val="hybridMultilevel"/>
    <w:tmpl w:val="809E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60821"/>
    <w:multiLevelType w:val="hybridMultilevel"/>
    <w:tmpl w:val="100AB5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6846F8"/>
    <w:multiLevelType w:val="hybridMultilevel"/>
    <w:tmpl w:val="A500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72"/>
    <w:rsid w:val="00003670"/>
    <w:rsid w:val="000060CE"/>
    <w:rsid w:val="00006D1C"/>
    <w:rsid w:val="0001248C"/>
    <w:rsid w:val="00013E4B"/>
    <w:rsid w:val="0002345B"/>
    <w:rsid w:val="0002662F"/>
    <w:rsid w:val="00030BFC"/>
    <w:rsid w:val="00033856"/>
    <w:rsid w:val="00033BA2"/>
    <w:rsid w:val="00040C38"/>
    <w:rsid w:val="00052403"/>
    <w:rsid w:val="00053E83"/>
    <w:rsid w:val="00061100"/>
    <w:rsid w:val="00062757"/>
    <w:rsid w:val="0006350B"/>
    <w:rsid w:val="0006546F"/>
    <w:rsid w:val="00074EBA"/>
    <w:rsid w:val="00075F2B"/>
    <w:rsid w:val="00075F93"/>
    <w:rsid w:val="00082C86"/>
    <w:rsid w:val="000832A3"/>
    <w:rsid w:val="00086B8F"/>
    <w:rsid w:val="00090578"/>
    <w:rsid w:val="00090FD3"/>
    <w:rsid w:val="0009411F"/>
    <w:rsid w:val="000A0238"/>
    <w:rsid w:val="000A7664"/>
    <w:rsid w:val="000B1EFB"/>
    <w:rsid w:val="000B2E3D"/>
    <w:rsid w:val="000C4353"/>
    <w:rsid w:val="000C5025"/>
    <w:rsid w:val="000D516F"/>
    <w:rsid w:val="000E26EF"/>
    <w:rsid w:val="000E6AA9"/>
    <w:rsid w:val="000F0AF5"/>
    <w:rsid w:val="000F38B8"/>
    <w:rsid w:val="000F4ABC"/>
    <w:rsid w:val="001010C2"/>
    <w:rsid w:val="00104D30"/>
    <w:rsid w:val="001052C8"/>
    <w:rsid w:val="00116CB2"/>
    <w:rsid w:val="00117528"/>
    <w:rsid w:val="001241C1"/>
    <w:rsid w:val="001253E2"/>
    <w:rsid w:val="00126EAC"/>
    <w:rsid w:val="00127EA2"/>
    <w:rsid w:val="0013535C"/>
    <w:rsid w:val="0014465A"/>
    <w:rsid w:val="00150DE1"/>
    <w:rsid w:val="00151BBC"/>
    <w:rsid w:val="001527A1"/>
    <w:rsid w:val="0015357F"/>
    <w:rsid w:val="001577E1"/>
    <w:rsid w:val="00162318"/>
    <w:rsid w:val="00162E77"/>
    <w:rsid w:val="00171C37"/>
    <w:rsid w:val="00173BBC"/>
    <w:rsid w:val="001821D6"/>
    <w:rsid w:val="0019648F"/>
    <w:rsid w:val="00196D9D"/>
    <w:rsid w:val="001A0FC5"/>
    <w:rsid w:val="001A3B2D"/>
    <w:rsid w:val="001B0CC4"/>
    <w:rsid w:val="001B2CB4"/>
    <w:rsid w:val="001B6B64"/>
    <w:rsid w:val="001C075A"/>
    <w:rsid w:val="001C22A1"/>
    <w:rsid w:val="001C488E"/>
    <w:rsid w:val="001D1F4A"/>
    <w:rsid w:val="001D689B"/>
    <w:rsid w:val="001D7EFA"/>
    <w:rsid w:val="001F129F"/>
    <w:rsid w:val="0020035C"/>
    <w:rsid w:val="002004E7"/>
    <w:rsid w:val="0020780E"/>
    <w:rsid w:val="00216917"/>
    <w:rsid w:val="00221121"/>
    <w:rsid w:val="00221E60"/>
    <w:rsid w:val="00223C46"/>
    <w:rsid w:val="00226CA5"/>
    <w:rsid w:val="00233631"/>
    <w:rsid w:val="002372D9"/>
    <w:rsid w:val="0024199C"/>
    <w:rsid w:val="00243551"/>
    <w:rsid w:val="00243FAD"/>
    <w:rsid w:val="00244309"/>
    <w:rsid w:val="0024720F"/>
    <w:rsid w:val="00247304"/>
    <w:rsid w:val="002525E7"/>
    <w:rsid w:val="00253FD4"/>
    <w:rsid w:val="002621E7"/>
    <w:rsid w:val="00264B39"/>
    <w:rsid w:val="00265114"/>
    <w:rsid w:val="0027671C"/>
    <w:rsid w:val="00277365"/>
    <w:rsid w:val="002807DC"/>
    <w:rsid w:val="0028201D"/>
    <w:rsid w:val="00290650"/>
    <w:rsid w:val="002920C0"/>
    <w:rsid w:val="00292672"/>
    <w:rsid w:val="00292918"/>
    <w:rsid w:val="00294043"/>
    <w:rsid w:val="002943E8"/>
    <w:rsid w:val="002950C1"/>
    <w:rsid w:val="0029620F"/>
    <w:rsid w:val="002A3B35"/>
    <w:rsid w:val="002B2484"/>
    <w:rsid w:val="002B2C16"/>
    <w:rsid w:val="002B41CD"/>
    <w:rsid w:val="002B68F4"/>
    <w:rsid w:val="002C2AC9"/>
    <w:rsid w:val="002C38CF"/>
    <w:rsid w:val="002D165D"/>
    <w:rsid w:val="002E095C"/>
    <w:rsid w:val="002E3368"/>
    <w:rsid w:val="002E6A9B"/>
    <w:rsid w:val="002F01BC"/>
    <w:rsid w:val="00302967"/>
    <w:rsid w:val="00303C78"/>
    <w:rsid w:val="00303EFC"/>
    <w:rsid w:val="0030481C"/>
    <w:rsid w:val="003060DB"/>
    <w:rsid w:val="00306E45"/>
    <w:rsid w:val="00313A41"/>
    <w:rsid w:val="00314867"/>
    <w:rsid w:val="00316165"/>
    <w:rsid w:val="00316ABE"/>
    <w:rsid w:val="00321738"/>
    <w:rsid w:val="00326826"/>
    <w:rsid w:val="003300FC"/>
    <w:rsid w:val="003340A6"/>
    <w:rsid w:val="00340C1E"/>
    <w:rsid w:val="00342E10"/>
    <w:rsid w:val="0035500E"/>
    <w:rsid w:val="003554C0"/>
    <w:rsid w:val="00355557"/>
    <w:rsid w:val="00362D3E"/>
    <w:rsid w:val="0036373F"/>
    <w:rsid w:val="00364535"/>
    <w:rsid w:val="00383C03"/>
    <w:rsid w:val="00383D8B"/>
    <w:rsid w:val="00385691"/>
    <w:rsid w:val="003918E0"/>
    <w:rsid w:val="0039236B"/>
    <w:rsid w:val="003A234F"/>
    <w:rsid w:val="003A3B3C"/>
    <w:rsid w:val="003A4EC0"/>
    <w:rsid w:val="003A66A2"/>
    <w:rsid w:val="003B4380"/>
    <w:rsid w:val="003B4A41"/>
    <w:rsid w:val="003B72C1"/>
    <w:rsid w:val="003C17C4"/>
    <w:rsid w:val="003C1C11"/>
    <w:rsid w:val="003C7008"/>
    <w:rsid w:val="003C74CE"/>
    <w:rsid w:val="003C78E4"/>
    <w:rsid w:val="003D2642"/>
    <w:rsid w:val="003D390E"/>
    <w:rsid w:val="003D78CC"/>
    <w:rsid w:val="003E0405"/>
    <w:rsid w:val="003E2883"/>
    <w:rsid w:val="003E4A2D"/>
    <w:rsid w:val="003E5657"/>
    <w:rsid w:val="003E666F"/>
    <w:rsid w:val="003F4BD1"/>
    <w:rsid w:val="003F4DF9"/>
    <w:rsid w:val="003F4E72"/>
    <w:rsid w:val="004029AF"/>
    <w:rsid w:val="00410FDE"/>
    <w:rsid w:val="0041263B"/>
    <w:rsid w:val="00424DD9"/>
    <w:rsid w:val="0043341F"/>
    <w:rsid w:val="00434795"/>
    <w:rsid w:val="00435C33"/>
    <w:rsid w:val="00436735"/>
    <w:rsid w:val="004373EC"/>
    <w:rsid w:val="004415AB"/>
    <w:rsid w:val="00441F7A"/>
    <w:rsid w:val="004436B0"/>
    <w:rsid w:val="00447C8B"/>
    <w:rsid w:val="004524EB"/>
    <w:rsid w:val="00453E6C"/>
    <w:rsid w:val="004557B0"/>
    <w:rsid w:val="004561B4"/>
    <w:rsid w:val="0045681C"/>
    <w:rsid w:val="00456D54"/>
    <w:rsid w:val="00460EE9"/>
    <w:rsid w:val="0046236E"/>
    <w:rsid w:val="00462511"/>
    <w:rsid w:val="00464B23"/>
    <w:rsid w:val="004705A3"/>
    <w:rsid w:val="004810AB"/>
    <w:rsid w:val="00482B9E"/>
    <w:rsid w:val="00484F94"/>
    <w:rsid w:val="00485C92"/>
    <w:rsid w:val="004975F3"/>
    <w:rsid w:val="004A222E"/>
    <w:rsid w:val="004A2371"/>
    <w:rsid w:val="004A331E"/>
    <w:rsid w:val="004B1AD5"/>
    <w:rsid w:val="004B22DF"/>
    <w:rsid w:val="004B4FEB"/>
    <w:rsid w:val="004C175F"/>
    <w:rsid w:val="004C2C6C"/>
    <w:rsid w:val="004C3A62"/>
    <w:rsid w:val="004D13B3"/>
    <w:rsid w:val="004E3A00"/>
    <w:rsid w:val="004F3AFD"/>
    <w:rsid w:val="00500CFB"/>
    <w:rsid w:val="00504942"/>
    <w:rsid w:val="00506706"/>
    <w:rsid w:val="00516FE4"/>
    <w:rsid w:val="00520327"/>
    <w:rsid w:val="00525CAA"/>
    <w:rsid w:val="0052760D"/>
    <w:rsid w:val="00530BE4"/>
    <w:rsid w:val="00540609"/>
    <w:rsid w:val="005618F4"/>
    <w:rsid w:val="00584E24"/>
    <w:rsid w:val="00585175"/>
    <w:rsid w:val="00591CC3"/>
    <w:rsid w:val="00592426"/>
    <w:rsid w:val="00595A50"/>
    <w:rsid w:val="005A19AF"/>
    <w:rsid w:val="005B2555"/>
    <w:rsid w:val="005C17AD"/>
    <w:rsid w:val="005D30F6"/>
    <w:rsid w:val="005D334A"/>
    <w:rsid w:val="005D38F0"/>
    <w:rsid w:val="005D450D"/>
    <w:rsid w:val="005D6FF6"/>
    <w:rsid w:val="00600A96"/>
    <w:rsid w:val="00611457"/>
    <w:rsid w:val="006115BD"/>
    <w:rsid w:val="0063001A"/>
    <w:rsid w:val="00630C4C"/>
    <w:rsid w:val="00641B68"/>
    <w:rsid w:val="00642409"/>
    <w:rsid w:val="00642892"/>
    <w:rsid w:val="006479AE"/>
    <w:rsid w:val="0065137E"/>
    <w:rsid w:val="00654407"/>
    <w:rsid w:val="00654DAC"/>
    <w:rsid w:val="00655B09"/>
    <w:rsid w:val="006565BB"/>
    <w:rsid w:val="00660637"/>
    <w:rsid w:val="00662BDF"/>
    <w:rsid w:val="00664BB1"/>
    <w:rsid w:val="00664D08"/>
    <w:rsid w:val="006677C2"/>
    <w:rsid w:val="00676A88"/>
    <w:rsid w:val="00677140"/>
    <w:rsid w:val="006822C4"/>
    <w:rsid w:val="00684096"/>
    <w:rsid w:val="00684754"/>
    <w:rsid w:val="006857DD"/>
    <w:rsid w:val="00686952"/>
    <w:rsid w:val="00693CED"/>
    <w:rsid w:val="0069476D"/>
    <w:rsid w:val="006953CE"/>
    <w:rsid w:val="0069718F"/>
    <w:rsid w:val="006978E7"/>
    <w:rsid w:val="006A3637"/>
    <w:rsid w:val="006B62FC"/>
    <w:rsid w:val="006C2235"/>
    <w:rsid w:val="006C2D02"/>
    <w:rsid w:val="006C66EE"/>
    <w:rsid w:val="006C7115"/>
    <w:rsid w:val="006D082D"/>
    <w:rsid w:val="006E1373"/>
    <w:rsid w:val="006E3B61"/>
    <w:rsid w:val="006F1271"/>
    <w:rsid w:val="006F17C1"/>
    <w:rsid w:val="00701C1B"/>
    <w:rsid w:val="00703B42"/>
    <w:rsid w:val="00707336"/>
    <w:rsid w:val="007076C4"/>
    <w:rsid w:val="007102BC"/>
    <w:rsid w:val="00714A84"/>
    <w:rsid w:val="00716249"/>
    <w:rsid w:val="00717247"/>
    <w:rsid w:val="0072535D"/>
    <w:rsid w:val="007253F1"/>
    <w:rsid w:val="0073121A"/>
    <w:rsid w:val="007313D9"/>
    <w:rsid w:val="00731631"/>
    <w:rsid w:val="00731B35"/>
    <w:rsid w:val="007330B5"/>
    <w:rsid w:val="00735DEE"/>
    <w:rsid w:val="007442AA"/>
    <w:rsid w:val="007470A0"/>
    <w:rsid w:val="00755430"/>
    <w:rsid w:val="00760102"/>
    <w:rsid w:val="007601C6"/>
    <w:rsid w:val="00760664"/>
    <w:rsid w:val="007739AF"/>
    <w:rsid w:val="007741B5"/>
    <w:rsid w:val="00776F0B"/>
    <w:rsid w:val="00780C01"/>
    <w:rsid w:val="00780E37"/>
    <w:rsid w:val="00781D57"/>
    <w:rsid w:val="007845BA"/>
    <w:rsid w:val="007917DA"/>
    <w:rsid w:val="00793CE3"/>
    <w:rsid w:val="00796B96"/>
    <w:rsid w:val="007A0E89"/>
    <w:rsid w:val="007A22EA"/>
    <w:rsid w:val="007A6B3C"/>
    <w:rsid w:val="007A7561"/>
    <w:rsid w:val="007A7E9E"/>
    <w:rsid w:val="007A7F12"/>
    <w:rsid w:val="007B7021"/>
    <w:rsid w:val="007C45E3"/>
    <w:rsid w:val="007C494E"/>
    <w:rsid w:val="007C6CA6"/>
    <w:rsid w:val="007E24CF"/>
    <w:rsid w:val="007E3274"/>
    <w:rsid w:val="007F6597"/>
    <w:rsid w:val="008005BE"/>
    <w:rsid w:val="00802896"/>
    <w:rsid w:val="00813CB6"/>
    <w:rsid w:val="00825F5C"/>
    <w:rsid w:val="008278CA"/>
    <w:rsid w:val="00827BA8"/>
    <w:rsid w:val="008311E7"/>
    <w:rsid w:val="0083321F"/>
    <w:rsid w:val="008351A0"/>
    <w:rsid w:val="0083532B"/>
    <w:rsid w:val="008427C9"/>
    <w:rsid w:val="008447D6"/>
    <w:rsid w:val="008462E5"/>
    <w:rsid w:val="00852566"/>
    <w:rsid w:val="00853E8C"/>
    <w:rsid w:val="00857A5F"/>
    <w:rsid w:val="0086012B"/>
    <w:rsid w:val="00864197"/>
    <w:rsid w:val="00870C92"/>
    <w:rsid w:val="008817AF"/>
    <w:rsid w:val="0088326C"/>
    <w:rsid w:val="008875D6"/>
    <w:rsid w:val="0089061C"/>
    <w:rsid w:val="00895F9C"/>
    <w:rsid w:val="008A311C"/>
    <w:rsid w:val="008A5B06"/>
    <w:rsid w:val="008B01BA"/>
    <w:rsid w:val="008B0BB0"/>
    <w:rsid w:val="008B1417"/>
    <w:rsid w:val="008B22D3"/>
    <w:rsid w:val="008B7135"/>
    <w:rsid w:val="008B723C"/>
    <w:rsid w:val="008B75BA"/>
    <w:rsid w:val="008C0554"/>
    <w:rsid w:val="008C7638"/>
    <w:rsid w:val="008D0DFE"/>
    <w:rsid w:val="008D2154"/>
    <w:rsid w:val="008D46CF"/>
    <w:rsid w:val="008E6236"/>
    <w:rsid w:val="008F0829"/>
    <w:rsid w:val="008F1C0F"/>
    <w:rsid w:val="008F530F"/>
    <w:rsid w:val="008F6A8A"/>
    <w:rsid w:val="00907AF1"/>
    <w:rsid w:val="00910B1B"/>
    <w:rsid w:val="00913501"/>
    <w:rsid w:val="00916C2E"/>
    <w:rsid w:val="00917A6A"/>
    <w:rsid w:val="00923017"/>
    <w:rsid w:val="00925250"/>
    <w:rsid w:val="009255E1"/>
    <w:rsid w:val="00927673"/>
    <w:rsid w:val="009313B0"/>
    <w:rsid w:val="00932FDA"/>
    <w:rsid w:val="00942C86"/>
    <w:rsid w:val="009434FD"/>
    <w:rsid w:val="00946A11"/>
    <w:rsid w:val="00946E89"/>
    <w:rsid w:val="00951CE8"/>
    <w:rsid w:val="00956BFD"/>
    <w:rsid w:val="00972F8D"/>
    <w:rsid w:val="0097406D"/>
    <w:rsid w:val="009803E7"/>
    <w:rsid w:val="00980921"/>
    <w:rsid w:val="009869F8"/>
    <w:rsid w:val="009902D1"/>
    <w:rsid w:val="00995B7C"/>
    <w:rsid w:val="009A400C"/>
    <w:rsid w:val="009A4BB6"/>
    <w:rsid w:val="009A66E3"/>
    <w:rsid w:val="009A70F4"/>
    <w:rsid w:val="009B1313"/>
    <w:rsid w:val="009B1E47"/>
    <w:rsid w:val="009C28C7"/>
    <w:rsid w:val="009C3768"/>
    <w:rsid w:val="009C6CC3"/>
    <w:rsid w:val="009D291D"/>
    <w:rsid w:val="009D2DC5"/>
    <w:rsid w:val="009D59A6"/>
    <w:rsid w:val="009E402A"/>
    <w:rsid w:val="009F34EE"/>
    <w:rsid w:val="009F6523"/>
    <w:rsid w:val="009F6797"/>
    <w:rsid w:val="009F7449"/>
    <w:rsid w:val="00A00C5C"/>
    <w:rsid w:val="00A07E6D"/>
    <w:rsid w:val="00A10033"/>
    <w:rsid w:val="00A124AA"/>
    <w:rsid w:val="00A2352B"/>
    <w:rsid w:val="00A27C98"/>
    <w:rsid w:val="00A32F9C"/>
    <w:rsid w:val="00A36DB7"/>
    <w:rsid w:val="00A42446"/>
    <w:rsid w:val="00A466A6"/>
    <w:rsid w:val="00A4695A"/>
    <w:rsid w:val="00A50CD7"/>
    <w:rsid w:val="00A51A26"/>
    <w:rsid w:val="00A63944"/>
    <w:rsid w:val="00A63E7D"/>
    <w:rsid w:val="00A64F37"/>
    <w:rsid w:val="00A70748"/>
    <w:rsid w:val="00A74DC8"/>
    <w:rsid w:val="00A8595F"/>
    <w:rsid w:val="00A87387"/>
    <w:rsid w:val="00A919A5"/>
    <w:rsid w:val="00A9371F"/>
    <w:rsid w:val="00A95D41"/>
    <w:rsid w:val="00AA0526"/>
    <w:rsid w:val="00AA0DEA"/>
    <w:rsid w:val="00AA21E0"/>
    <w:rsid w:val="00AA29DD"/>
    <w:rsid w:val="00AA2A32"/>
    <w:rsid w:val="00AA2CBD"/>
    <w:rsid w:val="00AA3D7F"/>
    <w:rsid w:val="00AA4C3C"/>
    <w:rsid w:val="00AB0A51"/>
    <w:rsid w:val="00AB1FD2"/>
    <w:rsid w:val="00AB357B"/>
    <w:rsid w:val="00AB3DBA"/>
    <w:rsid w:val="00AB69F4"/>
    <w:rsid w:val="00AC0895"/>
    <w:rsid w:val="00AC7EC1"/>
    <w:rsid w:val="00AD10F1"/>
    <w:rsid w:val="00AD2C43"/>
    <w:rsid w:val="00AD35C4"/>
    <w:rsid w:val="00AD6BE6"/>
    <w:rsid w:val="00AE3A26"/>
    <w:rsid w:val="00AE4F18"/>
    <w:rsid w:val="00AE564B"/>
    <w:rsid w:val="00AF717A"/>
    <w:rsid w:val="00B00E4E"/>
    <w:rsid w:val="00B0310B"/>
    <w:rsid w:val="00B04859"/>
    <w:rsid w:val="00B10496"/>
    <w:rsid w:val="00B16FDF"/>
    <w:rsid w:val="00B23851"/>
    <w:rsid w:val="00B313A9"/>
    <w:rsid w:val="00B351DE"/>
    <w:rsid w:val="00B4526D"/>
    <w:rsid w:val="00B45F27"/>
    <w:rsid w:val="00B5327A"/>
    <w:rsid w:val="00B5482C"/>
    <w:rsid w:val="00B55B1D"/>
    <w:rsid w:val="00B57ECA"/>
    <w:rsid w:val="00B60F57"/>
    <w:rsid w:val="00B63E27"/>
    <w:rsid w:val="00B64629"/>
    <w:rsid w:val="00B66C76"/>
    <w:rsid w:val="00B81A9F"/>
    <w:rsid w:val="00B8239D"/>
    <w:rsid w:val="00B848CB"/>
    <w:rsid w:val="00B95129"/>
    <w:rsid w:val="00B972A0"/>
    <w:rsid w:val="00B97C06"/>
    <w:rsid w:val="00B97C9A"/>
    <w:rsid w:val="00BA22EA"/>
    <w:rsid w:val="00BA2E7F"/>
    <w:rsid w:val="00BB6F7E"/>
    <w:rsid w:val="00BD4ADC"/>
    <w:rsid w:val="00BD63D7"/>
    <w:rsid w:val="00BD67F3"/>
    <w:rsid w:val="00BD796C"/>
    <w:rsid w:val="00BF41CD"/>
    <w:rsid w:val="00BF4964"/>
    <w:rsid w:val="00BF4C26"/>
    <w:rsid w:val="00BF52AC"/>
    <w:rsid w:val="00C13FA7"/>
    <w:rsid w:val="00C1467B"/>
    <w:rsid w:val="00C15630"/>
    <w:rsid w:val="00C34CBE"/>
    <w:rsid w:val="00C356B7"/>
    <w:rsid w:val="00C35C95"/>
    <w:rsid w:val="00C363C8"/>
    <w:rsid w:val="00C421F7"/>
    <w:rsid w:val="00C42993"/>
    <w:rsid w:val="00C43753"/>
    <w:rsid w:val="00C463A4"/>
    <w:rsid w:val="00C46831"/>
    <w:rsid w:val="00C52482"/>
    <w:rsid w:val="00C545BE"/>
    <w:rsid w:val="00C5593D"/>
    <w:rsid w:val="00C60B0F"/>
    <w:rsid w:val="00C66178"/>
    <w:rsid w:val="00C662E1"/>
    <w:rsid w:val="00C73D28"/>
    <w:rsid w:val="00C76845"/>
    <w:rsid w:val="00C822A3"/>
    <w:rsid w:val="00C90E0C"/>
    <w:rsid w:val="00C9247A"/>
    <w:rsid w:val="00C95D79"/>
    <w:rsid w:val="00CA4CC3"/>
    <w:rsid w:val="00CA7079"/>
    <w:rsid w:val="00CB0D40"/>
    <w:rsid w:val="00CC05DF"/>
    <w:rsid w:val="00CC0C47"/>
    <w:rsid w:val="00CC4FEA"/>
    <w:rsid w:val="00CC5747"/>
    <w:rsid w:val="00CD0789"/>
    <w:rsid w:val="00CD1D9B"/>
    <w:rsid w:val="00CD2A80"/>
    <w:rsid w:val="00CD2B39"/>
    <w:rsid w:val="00CD314C"/>
    <w:rsid w:val="00CD3CCF"/>
    <w:rsid w:val="00CD5571"/>
    <w:rsid w:val="00CD782C"/>
    <w:rsid w:val="00CD7C45"/>
    <w:rsid w:val="00CE1B05"/>
    <w:rsid w:val="00CE1C91"/>
    <w:rsid w:val="00CF4DF7"/>
    <w:rsid w:val="00D034E1"/>
    <w:rsid w:val="00D05B47"/>
    <w:rsid w:val="00D06EBE"/>
    <w:rsid w:val="00D14326"/>
    <w:rsid w:val="00D168CB"/>
    <w:rsid w:val="00D178CF"/>
    <w:rsid w:val="00D263C6"/>
    <w:rsid w:val="00D33E3B"/>
    <w:rsid w:val="00D33F6C"/>
    <w:rsid w:val="00D359B9"/>
    <w:rsid w:val="00D35F33"/>
    <w:rsid w:val="00D40E25"/>
    <w:rsid w:val="00D44107"/>
    <w:rsid w:val="00D51447"/>
    <w:rsid w:val="00D52E65"/>
    <w:rsid w:val="00D53CF1"/>
    <w:rsid w:val="00D53F42"/>
    <w:rsid w:val="00D54155"/>
    <w:rsid w:val="00D546FF"/>
    <w:rsid w:val="00D54C45"/>
    <w:rsid w:val="00D5561D"/>
    <w:rsid w:val="00D64123"/>
    <w:rsid w:val="00D80C35"/>
    <w:rsid w:val="00D81218"/>
    <w:rsid w:val="00D83718"/>
    <w:rsid w:val="00D92E89"/>
    <w:rsid w:val="00D94B87"/>
    <w:rsid w:val="00DA1579"/>
    <w:rsid w:val="00DA44E3"/>
    <w:rsid w:val="00DA479A"/>
    <w:rsid w:val="00DB0634"/>
    <w:rsid w:val="00DB0BAD"/>
    <w:rsid w:val="00DC0EE3"/>
    <w:rsid w:val="00DC38DF"/>
    <w:rsid w:val="00DC6A9F"/>
    <w:rsid w:val="00DC781B"/>
    <w:rsid w:val="00DD477D"/>
    <w:rsid w:val="00DD5CB6"/>
    <w:rsid w:val="00DE7815"/>
    <w:rsid w:val="00DF0651"/>
    <w:rsid w:val="00DF0FC9"/>
    <w:rsid w:val="00DF1583"/>
    <w:rsid w:val="00DF49DC"/>
    <w:rsid w:val="00DF5F38"/>
    <w:rsid w:val="00DF61D7"/>
    <w:rsid w:val="00E12008"/>
    <w:rsid w:val="00E154C9"/>
    <w:rsid w:val="00E201B5"/>
    <w:rsid w:val="00E3135C"/>
    <w:rsid w:val="00E37A09"/>
    <w:rsid w:val="00E41CC8"/>
    <w:rsid w:val="00E4599A"/>
    <w:rsid w:val="00E521EB"/>
    <w:rsid w:val="00E53F16"/>
    <w:rsid w:val="00E6171F"/>
    <w:rsid w:val="00E623EF"/>
    <w:rsid w:val="00E63286"/>
    <w:rsid w:val="00E65832"/>
    <w:rsid w:val="00E670A3"/>
    <w:rsid w:val="00E71C43"/>
    <w:rsid w:val="00E76CFA"/>
    <w:rsid w:val="00E77DFF"/>
    <w:rsid w:val="00E81413"/>
    <w:rsid w:val="00E93656"/>
    <w:rsid w:val="00E946D3"/>
    <w:rsid w:val="00E95F60"/>
    <w:rsid w:val="00EA20DF"/>
    <w:rsid w:val="00EA557C"/>
    <w:rsid w:val="00EB3213"/>
    <w:rsid w:val="00EC054B"/>
    <w:rsid w:val="00EC24C4"/>
    <w:rsid w:val="00ED03EB"/>
    <w:rsid w:val="00ED5401"/>
    <w:rsid w:val="00ED7662"/>
    <w:rsid w:val="00EE053A"/>
    <w:rsid w:val="00EE7B1A"/>
    <w:rsid w:val="00EE7C72"/>
    <w:rsid w:val="00F00F98"/>
    <w:rsid w:val="00F05456"/>
    <w:rsid w:val="00F05DD6"/>
    <w:rsid w:val="00F06D60"/>
    <w:rsid w:val="00F07BF0"/>
    <w:rsid w:val="00F118AC"/>
    <w:rsid w:val="00F15AC0"/>
    <w:rsid w:val="00F15DCA"/>
    <w:rsid w:val="00F2113A"/>
    <w:rsid w:val="00F2670F"/>
    <w:rsid w:val="00F27AFE"/>
    <w:rsid w:val="00F32630"/>
    <w:rsid w:val="00F37D36"/>
    <w:rsid w:val="00F4175D"/>
    <w:rsid w:val="00F41B1E"/>
    <w:rsid w:val="00F43095"/>
    <w:rsid w:val="00F43392"/>
    <w:rsid w:val="00F44D2C"/>
    <w:rsid w:val="00F45500"/>
    <w:rsid w:val="00F45BC2"/>
    <w:rsid w:val="00F46B9F"/>
    <w:rsid w:val="00F52A72"/>
    <w:rsid w:val="00F548F4"/>
    <w:rsid w:val="00F60CEA"/>
    <w:rsid w:val="00F6411D"/>
    <w:rsid w:val="00F66328"/>
    <w:rsid w:val="00F80958"/>
    <w:rsid w:val="00F8681C"/>
    <w:rsid w:val="00F91CD8"/>
    <w:rsid w:val="00F92DE5"/>
    <w:rsid w:val="00F951DD"/>
    <w:rsid w:val="00FA1CA2"/>
    <w:rsid w:val="00FA25BC"/>
    <w:rsid w:val="00FA5527"/>
    <w:rsid w:val="00FA674D"/>
    <w:rsid w:val="00FB327F"/>
    <w:rsid w:val="00FC1495"/>
    <w:rsid w:val="00FC58FC"/>
    <w:rsid w:val="00FD22B6"/>
    <w:rsid w:val="00FD6FEE"/>
    <w:rsid w:val="00FE00CA"/>
    <w:rsid w:val="00FE01DA"/>
    <w:rsid w:val="00FF474C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80"/>
    <w:rPr>
      <w:sz w:val="24"/>
      <w:szCs w:val="24"/>
    </w:rPr>
  </w:style>
  <w:style w:type="paragraph" w:styleId="Heading1">
    <w:name w:val="heading 1"/>
    <w:basedOn w:val="Normal"/>
    <w:next w:val="Normal"/>
    <w:qFormat/>
    <w:rsid w:val="003F4E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E13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C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5C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7BA8"/>
  </w:style>
  <w:style w:type="paragraph" w:styleId="ListParagraph">
    <w:name w:val="List Paragraph"/>
    <w:basedOn w:val="Normal"/>
    <w:uiPriority w:val="34"/>
    <w:qFormat/>
    <w:rsid w:val="00FE01DA"/>
    <w:pPr>
      <w:ind w:left="720"/>
    </w:pPr>
  </w:style>
  <w:style w:type="character" w:styleId="Hyperlink">
    <w:name w:val="Hyperlink"/>
    <w:uiPriority w:val="99"/>
    <w:unhideWhenUsed/>
    <w:rsid w:val="00A32F9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41B5"/>
    <w:rPr>
      <w:color w:val="800080"/>
      <w:u w:val="single"/>
    </w:rPr>
  </w:style>
  <w:style w:type="table" w:styleId="TableGrid">
    <w:name w:val="Table Grid"/>
    <w:basedOn w:val="TableNormal"/>
    <w:uiPriority w:val="59"/>
    <w:rsid w:val="00A63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4DD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A15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80"/>
    <w:rPr>
      <w:sz w:val="24"/>
      <w:szCs w:val="24"/>
    </w:rPr>
  </w:style>
  <w:style w:type="paragraph" w:styleId="Heading1">
    <w:name w:val="heading 1"/>
    <w:basedOn w:val="Normal"/>
    <w:next w:val="Normal"/>
    <w:qFormat/>
    <w:rsid w:val="003F4E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E13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C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5C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7BA8"/>
  </w:style>
  <w:style w:type="paragraph" w:styleId="ListParagraph">
    <w:name w:val="List Paragraph"/>
    <w:basedOn w:val="Normal"/>
    <w:uiPriority w:val="34"/>
    <w:qFormat/>
    <w:rsid w:val="00FE01DA"/>
    <w:pPr>
      <w:ind w:left="720"/>
    </w:pPr>
  </w:style>
  <w:style w:type="character" w:styleId="Hyperlink">
    <w:name w:val="Hyperlink"/>
    <w:uiPriority w:val="99"/>
    <w:unhideWhenUsed/>
    <w:rsid w:val="00A32F9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41B5"/>
    <w:rPr>
      <w:color w:val="800080"/>
      <w:u w:val="single"/>
    </w:rPr>
  </w:style>
  <w:style w:type="table" w:styleId="TableGrid">
    <w:name w:val="Table Grid"/>
    <w:basedOn w:val="TableNormal"/>
    <w:uiPriority w:val="59"/>
    <w:rsid w:val="00A63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4DD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A15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tinyurl.com/lzhdkcn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tinyurl.com/nsph5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tinyurl.com/ntwb2n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logbooks.jlab.org/entry/326400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15230-A0BF-48A3-907F-5988917E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Accuracy of Prediction of the Multi-pass BBU Threshold in BTF and “Decay Time” Measurements</vt:lpstr>
    </vt:vector>
  </TitlesOfParts>
  <Company>JLAB</Company>
  <LinksUpToDate>false</LinksUpToDate>
  <CharactersWithSpaces>13991</CharactersWithSpaces>
  <SharedDoc>false</SharedDoc>
  <HLinks>
    <vt:vector size="6" baseType="variant"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http://www.cockcroft.ac.uk/events/HOMSC12/location.html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Accuracy of Prediction of the Multi-pass BBU Threshold in BTF and “Decay Time” Measurements</dc:title>
  <dc:creator>Eduard Pozdeyev</dc:creator>
  <cp:lastModifiedBy>Kim Kindrew</cp:lastModifiedBy>
  <cp:revision>2</cp:revision>
  <cp:lastPrinted>2013-03-14T15:43:00Z</cp:lastPrinted>
  <dcterms:created xsi:type="dcterms:W3CDTF">2014-03-31T14:35:00Z</dcterms:created>
  <dcterms:modified xsi:type="dcterms:W3CDTF">2014-03-31T14:35:00Z</dcterms:modified>
</cp:coreProperties>
</file>