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3.xml" ContentType="application/xml"/>
  <Override PartName="/customXml/itemProps3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</w:rPr>
      </w:pPr>
      <w:r>
        <w:rPr>
          <w:sz w:val="24"/>
        </w:rPr>
        <w:t>08/11/2021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Procedure outline for dose mapping/calibration and samples irradiation</w:t>
      </w:r>
    </w:p>
    <w:p>
      <w:pPr>
        <w:pStyle w:val="Normal"/>
        <w:jc w:val="center"/>
        <w:rPr>
          <w:i/>
          <w:i/>
          <w:sz w:val="24"/>
        </w:rPr>
      </w:pPr>
      <w:r>
        <w:rPr>
          <w:i/>
          <w:sz w:val="24"/>
        </w:rPr>
        <w:t>G. Ciovati, X. Li, M. McCaughan, J. Vennekate</w:t>
      </w:r>
    </w:p>
    <w:p>
      <w:pPr>
        <w:pStyle w:val="Normal"/>
        <w:jc w:val="center"/>
        <w:rPr>
          <w:i/>
          <w:i/>
          <w:sz w:val="24"/>
        </w:rPr>
      </w:pPr>
      <w:r>
        <w:rPr>
          <w:i/>
          <w:sz w:val="24"/>
        </w:rPr>
      </w:r>
    </w:p>
    <w:p>
      <w:pPr>
        <w:pStyle w:val="ListParagraph"/>
        <w:numPr>
          <w:ilvl w:val="0"/>
          <w:numId w:val="2"/>
        </w:numPr>
        <w:rPr>
          <w:b/>
          <w:b/>
          <w:sz w:val="28"/>
        </w:rPr>
      </w:pPr>
      <w:r>
        <w:rPr>
          <w:b/>
          <w:sz w:val="28"/>
        </w:rPr>
        <w:t>Commissioning Phase (week 1 &amp; 2)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Rail calibration</w:t>
      </w:r>
    </w:p>
    <w:p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Mark each sample holder in the center</w:t>
      </w:r>
    </w:p>
    <w:p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Mark Ti window flange upper center</w:t>
      </w:r>
    </w:p>
    <w:p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Drive each holder to match the center positions</w:t>
        <w:br/>
      </w:r>
      <w:r>
        <w:rPr>
          <w:bCs/>
        </w:rPr>
      </w:r>
      <m:oMath xmlns:m="http://schemas.openxmlformats.org/officeDocument/2006/math">
        <m:r>
          <w:rPr>
            <w:rFonts w:ascii="Cambria Math" w:hAnsi="Cambria Math"/>
          </w:rPr>
          <m:t xml:space="preserve">→</m:t>
        </m:r>
      </m:oMath>
      <w:r>
        <w:rPr>
          <w:rFonts w:eastAsia="等线" w:eastAsiaTheme="minorEastAsia"/>
          <w:bCs/>
        </w:rPr>
        <w:t xml:space="preserve"> verify it with the target camera</w:t>
      </w:r>
      <w:r>
        <w:rPr>
          <w:rFonts w:eastAsia="等线" w:eastAsiaTheme="minorEastAsia"/>
          <w:bCs/>
          <w:color w:val="FF0000"/>
        </w:rPr>
        <w:t xml:space="preserve">: </w:t>
      </w:r>
      <w:r>
        <w:rPr>
          <w:rFonts w:eastAsia="等线" w:eastAsiaTheme="minorEastAsia"/>
          <w:bCs/>
          <w:color w:val="FF0000"/>
        </w:rPr>
        <w:t>ITVM604A</w:t>
      </w:r>
      <w:r>
        <w:rPr>
          <w:rFonts w:eastAsia="等线" w:eastAsiaTheme="minorEastAsia"/>
          <w:bCs/>
        </w:rPr>
        <w:br/>
      </w:r>
      <w:r>
        <w:rPr>
          <w:rFonts w:eastAsia="等线" w:eastAsiaTheme="minorEastAsia"/>
          <w:bCs/>
        </w:rPr>
      </w:r>
      <m:oMath xmlns:m="http://schemas.openxmlformats.org/officeDocument/2006/math">
        <m:r>
          <w:rPr>
            <w:rFonts w:ascii="Cambria Math" w:hAnsi="Cambria Math"/>
          </w:rPr>
          <m:t xml:space="preserve">→</m:t>
        </m:r>
      </m:oMath>
      <w:r>
        <w:rPr>
          <w:rFonts w:eastAsia="等线" w:eastAsiaTheme="minorEastAsia"/>
          <w:bCs/>
        </w:rPr>
        <w:t xml:space="preserve"> set corresponding positions in the control system.</w:t>
      </w:r>
    </w:p>
    <w:p>
      <w:pPr>
        <w:pStyle w:val="ListParagraph"/>
        <w:ind w:left="792" w:hanging="0"/>
        <w:rPr>
          <w:bCs/>
        </w:rPr>
      </w:pPr>
      <w:r>
        <w:rPr>
          <w:bCs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Dose mapping and calibration</w:t>
      </w:r>
    </w:p>
    <w:p>
      <w:pPr>
        <w:pStyle w:val="ListParagraph"/>
        <w:numPr>
          <w:ilvl w:val="1"/>
          <w:numId w:val="1"/>
        </w:numPr>
        <w:ind w:left="900" w:hanging="540"/>
        <w:rPr/>
      </w:pPr>
      <w:r>
        <w:rPr/>
        <w:t>Set an X-ray screen on the holder behind the target rail system.</w:t>
      </w:r>
    </w:p>
    <w:p>
      <w:pPr>
        <w:pStyle w:val="ListParagraph"/>
        <w:numPr>
          <w:ilvl w:val="1"/>
          <w:numId w:val="1"/>
        </w:numPr>
        <w:ind w:left="900" w:hanging="540"/>
        <w:rPr/>
      </w:pPr>
      <w:r>
        <w:rPr/>
        <w:t>Set a dummy target (Aluminum block) with one X-ray screen in front of it. Alternatively tape the X-ray screen to the rail.</w:t>
      </w:r>
    </w:p>
    <w:p>
      <w:pPr>
        <w:pStyle w:val="ListParagraph"/>
        <w:numPr>
          <w:ilvl w:val="1"/>
          <w:numId w:val="1"/>
        </w:numPr>
        <w:ind w:left="900" w:hanging="540"/>
        <w:rPr/>
      </w:pPr>
      <w:r>
        <w:rPr/>
        <w:t>Set up four 75 mL target cells with dosimeter rods taped to the front are placed on the remaining seats.</w:t>
      </w:r>
    </w:p>
    <w:p>
      <w:pPr>
        <w:pStyle w:val="ListParagraph"/>
        <w:numPr>
          <w:ilvl w:val="1"/>
          <w:numId w:val="1"/>
        </w:numPr>
        <w:ind w:left="900" w:hanging="540"/>
        <w:rPr/>
      </w:pPr>
      <w:r>
        <w:rPr/>
        <w:t>The target carousel (ITGM604) is operated to place the dummy target in front of the beam exit window</w:t>
      </w:r>
    </w:p>
    <w:p>
      <w:pPr>
        <w:pStyle w:val="ListParagraph"/>
        <w:numPr>
          <w:ilvl w:val="1"/>
          <w:numId w:val="1"/>
        </w:numPr>
        <w:ind w:left="900" w:hanging="540"/>
        <w:rPr/>
      </w:pPr>
      <w:r>
        <w:rPr/>
        <w:t>PSS set to RUN, close up UITF.</w:t>
      </w:r>
    </w:p>
    <w:p>
      <w:pPr>
        <w:pStyle w:val="ListParagraph"/>
        <w:numPr>
          <w:ilvl w:val="1"/>
          <w:numId w:val="1"/>
        </w:numPr>
        <w:ind w:left="900" w:hanging="540"/>
        <w:rPr/>
      </w:pPr>
      <w:r>
        <w:rPr/>
        <w:t>Beam is accelerated through the MeV section and directed to the beam dump</w:t>
      </w:r>
    </w:p>
    <w:p>
      <w:pPr>
        <w:pStyle w:val="ListParagraph"/>
        <w:numPr>
          <w:ilvl w:val="1"/>
          <w:numId w:val="1"/>
        </w:numPr>
        <w:rPr/>
      </w:pPr>
      <w:r>
        <w:rPr/>
        <w:t>Verify that the pressure along the beamline (VIPM603, VIPM604A, VIPM604B, VCGM604) is &lt;1e-7 mbar</w:t>
      </w:r>
    </w:p>
    <w:p>
      <w:pPr>
        <w:pStyle w:val="ListParagraph"/>
        <w:numPr>
          <w:ilvl w:val="1"/>
          <w:numId w:val="1"/>
        </w:numPr>
        <w:rPr/>
      </w:pPr>
      <w:r>
        <w:rPr/>
        <w:t>Open valve VBVM602</w:t>
      </w:r>
    </w:p>
    <w:p>
      <w:pPr>
        <w:pStyle w:val="ListParagraph"/>
        <w:numPr>
          <w:ilvl w:val="1"/>
          <w:numId w:val="1"/>
        </w:numPr>
        <w:ind w:left="900" w:hanging="540"/>
        <w:rPr/>
      </w:pPr>
      <w:r>
        <w:rPr/>
        <w:t>Measure and tune the beam profile through the irradiation beamline using both Viewers and Harps</w:t>
      </w:r>
    </w:p>
    <w:p>
      <w:pPr>
        <w:pStyle w:val="ListParagraph"/>
        <w:numPr>
          <w:ilvl w:val="1"/>
          <w:numId w:val="1"/>
        </w:numPr>
        <w:ind w:left="900" w:hanging="540"/>
        <w:rPr/>
      </w:pPr>
      <w:r>
        <w:rPr/>
        <w:t>Energize solenoid at the target current of 110 A</w:t>
      </w:r>
    </w:p>
    <w:p>
      <w:pPr>
        <w:pStyle w:val="ListParagraph"/>
        <w:numPr>
          <w:ilvl w:val="1"/>
          <w:numId w:val="1"/>
        </w:numPr>
        <w:ind w:left="900" w:hanging="540"/>
        <w:rPr/>
      </w:pPr>
      <w:r>
        <w:rPr/>
        <w:t>Measure the beam energy and energy spread (8 MeV, Use MeV spectrometer</w:t>
      </w:r>
      <w:bookmarkStart w:id="0" w:name="_GoBack"/>
      <w:bookmarkEnd w:id="0"/>
      <w:r>
        <w:rPr/>
        <w:t xml:space="preserve"> line and harp701)</w:t>
      </w:r>
    </w:p>
    <w:p>
      <w:pPr>
        <w:pStyle w:val="ListParagraph"/>
        <w:numPr>
          <w:ilvl w:val="1"/>
          <w:numId w:val="1"/>
        </w:numPr>
        <w:ind w:left="900" w:hanging="540"/>
        <w:rPr/>
      </w:pPr>
      <w:r>
        <w:rPr/>
        <w:t>Measure the beam current with Faraday Cup and Beam Current Monitor (100 nA)</w:t>
      </w:r>
    </w:p>
    <w:p>
      <w:pPr>
        <w:pStyle w:val="ListParagraph"/>
        <w:numPr>
          <w:ilvl w:val="1"/>
          <w:numId w:val="1"/>
        </w:numPr>
        <w:ind w:left="900" w:hanging="540"/>
        <w:rPr/>
      </w:pPr>
      <w:r>
        <w:rPr/>
        <w:t>Monitor the beam current for a duration time, ~ 40 mins, save the current data during this time. Keep the BCM on for every irradiation and save the relevant data.</w:t>
      </w:r>
    </w:p>
    <w:p>
      <w:pPr>
        <w:pStyle w:val="ListParagraph"/>
        <w:numPr>
          <w:ilvl w:val="1"/>
          <w:numId w:val="1"/>
        </w:numPr>
        <w:ind w:left="900" w:hanging="540"/>
        <w:rPr/>
      </w:pPr>
      <w:r>
        <w:rPr/>
        <w:t>Beam is ready to be delivered on 1</w:t>
      </w:r>
      <w:r>
        <w:rPr>
          <w:vertAlign w:val="superscript"/>
        </w:rPr>
        <w:t>st</w:t>
      </w:r>
      <w:r>
        <w:rPr/>
        <w:t xml:space="preserve"> target </w:t>
      </w:r>
    </w:p>
    <w:p>
      <w:pPr>
        <w:pStyle w:val="ListParagraph"/>
        <w:numPr>
          <w:ilvl w:val="1"/>
          <w:numId w:val="1"/>
        </w:numPr>
        <w:ind w:left="900" w:hanging="540"/>
        <w:rPr/>
      </w:pPr>
      <w:r>
        <w:rPr/>
        <w:t>Verify beam size at target with X-ray screen (~50 mm diameter)</w:t>
      </w:r>
    </w:p>
    <w:p>
      <w:pPr>
        <w:pStyle w:val="ListParagraph"/>
        <w:numPr>
          <w:ilvl w:val="1"/>
          <w:numId w:val="1"/>
        </w:numPr>
        <w:ind w:left="900" w:hanging="540"/>
        <w:rPr/>
      </w:pPr>
      <w:r>
        <w:rPr/>
        <w:t>Put Faraday cup in the beamline</w:t>
      </w:r>
    </w:p>
    <w:p>
      <w:pPr>
        <w:pStyle w:val="ListParagraph"/>
        <w:numPr>
          <w:ilvl w:val="1"/>
          <w:numId w:val="1"/>
        </w:numPr>
        <w:ind w:left="900" w:hanging="540"/>
        <w:rPr/>
      </w:pPr>
      <w:r>
        <w:rPr/>
        <w:t>Move the 1</w:t>
      </w:r>
      <w:r>
        <w:rPr>
          <w:vertAlign w:val="superscript"/>
        </w:rPr>
        <w:t>st</w:t>
      </w:r>
      <w:r>
        <w:rPr/>
        <w:t xml:space="preserve"> target cell in front of the beam exit window</w:t>
      </w:r>
    </w:p>
    <w:p>
      <w:pPr>
        <w:pStyle w:val="ListParagraph"/>
        <w:numPr>
          <w:ilvl w:val="1"/>
          <w:numId w:val="1"/>
        </w:numPr>
        <w:ind w:left="900" w:hanging="540"/>
        <w:rPr/>
      </w:pPr>
      <w:r>
        <w:rPr/>
        <w:t>Deliver beam for 1 kGy dose, remove Faraday cup</w:t>
        <w:br/>
        <w:t>Refer the irradiation time from the FLUKA simulation table.</w:t>
        <w:br/>
      </w:r>
    </w:p>
    <w:p>
      <w:pPr>
        <w:pStyle w:val="Normal"/>
        <w:rPr/>
      </w:pPr>
      <w:r>
        <w:rPr/>
      </w:r>
      <w:r>
        <w:br w:type="page"/>
      </w:r>
    </w:p>
    <w:tbl>
      <w:tblPr>
        <w:tblW w:w="522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90"/>
        <w:gridCol w:w="658"/>
        <w:gridCol w:w="657"/>
        <w:gridCol w:w="811"/>
        <w:gridCol w:w="812"/>
      </w:tblGrid>
      <w:tr>
        <w:trPr>
          <w:trHeight w:val="430" w:hRule="atLeast"/>
        </w:trPr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pageBreakBefore/>
              <w:spacing w:before="0" w:after="160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Front of the window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1kGy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5kGy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 kGy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 kGy</w:t>
            </w:r>
          </w:p>
        </w:tc>
      </w:tr>
      <w:tr>
        <w:trPr>
          <w:trHeight w:val="430" w:hRule="atLeast"/>
        </w:trPr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Time (mins) for solenoid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</w:tr>
      <w:tr>
        <w:trPr>
          <w:trHeight w:val="430" w:hRule="atLeast"/>
        </w:trPr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Time (mins) for raster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1.8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</w:tr>
    </w:tbl>
    <w:p>
      <w:pPr>
        <w:pStyle w:val="Normal"/>
        <w:ind w:left="900" w:hanging="0"/>
        <w:rPr/>
      </w:pPr>
      <w:r>
        <w:rPr/>
      </w:r>
    </w:p>
    <w:tbl>
      <w:tblPr>
        <w:tblW w:w="522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90"/>
        <w:gridCol w:w="658"/>
        <w:gridCol w:w="657"/>
        <w:gridCol w:w="811"/>
        <w:gridCol w:w="812"/>
      </w:tblGrid>
      <w:tr>
        <w:trPr>
          <w:trHeight w:val="430" w:hRule="atLeast"/>
        </w:trPr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Inside water, 2 rods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1kGy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5kGy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 kGy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 kGy</w:t>
            </w:r>
          </w:p>
        </w:tc>
      </w:tr>
      <w:tr>
        <w:trPr>
          <w:trHeight w:val="430" w:hRule="atLeast"/>
        </w:trPr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Time (mins) for solenoid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</w:tr>
      <w:tr>
        <w:trPr>
          <w:trHeight w:val="430" w:hRule="atLeast"/>
        </w:trPr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Time (mins) for raster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</w:tr>
    </w:tbl>
    <w:p>
      <w:pPr>
        <w:pStyle w:val="Normal"/>
        <w:ind w:left="900" w:hanging="0"/>
        <w:rPr/>
      </w:pPr>
      <w:r>
        <w:rPr/>
        <w:br/>
      </w:r>
    </w:p>
    <w:p>
      <w:pPr>
        <w:pStyle w:val="ListParagraph"/>
        <w:numPr>
          <w:ilvl w:val="1"/>
          <w:numId w:val="1"/>
        </w:numPr>
        <w:ind w:left="900" w:hanging="540"/>
        <w:rPr/>
      </w:pPr>
      <w:r>
        <w:rPr/>
        <w:t>Record the beam current, irradiation start time and end time on the commissioning sheet.</w:t>
      </w:r>
    </w:p>
    <w:p>
      <w:pPr>
        <w:pStyle w:val="ListParagraph"/>
        <w:numPr>
          <w:ilvl w:val="1"/>
          <w:numId w:val="1"/>
        </w:numPr>
        <w:ind w:left="900" w:hanging="540"/>
        <w:rPr/>
      </w:pPr>
      <w:r>
        <w:rPr/>
        <w:t>Repeat steps 2.16 - 2.19 to move each target in front of the beam exit window and deliver 5 kGy, 10 kGy and 20 kGy</w:t>
      </w:r>
    </w:p>
    <w:p>
      <w:pPr>
        <w:pStyle w:val="ListParagraph"/>
        <w:numPr>
          <w:ilvl w:val="1"/>
          <w:numId w:val="1"/>
        </w:numPr>
        <w:ind w:left="900" w:hanging="540"/>
        <w:rPr/>
      </w:pPr>
      <w:r>
        <w:rPr/>
        <w:t>Shut off beam</w:t>
      </w:r>
    </w:p>
    <w:p>
      <w:pPr>
        <w:pStyle w:val="ListParagraph"/>
        <w:numPr>
          <w:ilvl w:val="1"/>
          <w:numId w:val="1"/>
        </w:numPr>
        <w:ind w:left="900" w:hanging="540"/>
        <w:rPr/>
      </w:pPr>
      <w:r>
        <w:rPr/>
        <w:t>PSS to Open</w:t>
      </w:r>
    </w:p>
    <w:p>
      <w:pPr>
        <w:pStyle w:val="ListParagraph"/>
        <w:numPr>
          <w:ilvl w:val="1"/>
          <w:numId w:val="1"/>
        </w:numPr>
        <w:ind w:left="900" w:hanging="540"/>
        <w:rPr/>
      </w:pPr>
      <w:r>
        <w:rPr/>
        <w:t xml:space="preserve">Retrieve the rods from each target </w:t>
      </w:r>
    </w:p>
    <w:p>
      <w:pPr>
        <w:pStyle w:val="ListParagraph"/>
        <w:numPr>
          <w:ilvl w:val="1"/>
          <w:numId w:val="1"/>
        </w:numPr>
        <w:ind w:left="900" w:hanging="540"/>
        <w:rPr/>
      </w:pPr>
      <w:r>
        <w:rPr/>
        <w:t>Replace sample holders with 60 mL sample holders with rods inside water.</w:t>
      </w:r>
    </w:p>
    <w:p>
      <w:pPr>
        <w:pStyle w:val="ListParagraph"/>
        <w:numPr>
          <w:ilvl w:val="1"/>
          <w:numId w:val="1"/>
        </w:numPr>
        <w:ind w:left="900" w:hanging="540"/>
        <w:rPr/>
      </w:pPr>
      <w:r>
        <w:rPr/>
        <w:t>PSS to Run</w:t>
      </w:r>
    </w:p>
    <w:p>
      <w:pPr>
        <w:pStyle w:val="ListParagraph"/>
        <w:numPr>
          <w:ilvl w:val="1"/>
          <w:numId w:val="1"/>
        </w:numPr>
        <w:ind w:left="900" w:hanging="540"/>
        <w:rPr/>
      </w:pPr>
      <w:r>
        <w:rPr/>
        <w:t>Place dummy target in front of beamline exit window</w:t>
      </w:r>
    </w:p>
    <w:p>
      <w:pPr>
        <w:pStyle w:val="ListParagraph"/>
        <w:numPr>
          <w:ilvl w:val="1"/>
          <w:numId w:val="1"/>
        </w:numPr>
        <w:ind w:left="900" w:hanging="540"/>
        <w:rPr/>
      </w:pPr>
      <w:r>
        <w:rPr/>
        <w:t>Verify beam profile and beam energy</w:t>
      </w:r>
    </w:p>
    <w:p>
      <w:pPr>
        <w:pStyle w:val="ListParagraph"/>
        <w:numPr>
          <w:ilvl w:val="1"/>
          <w:numId w:val="1"/>
        </w:numPr>
        <w:ind w:left="900" w:hanging="540"/>
        <w:rPr/>
      </w:pPr>
      <w:r>
        <w:rPr/>
        <w:t>Deliver 1 kGy, 5 kGy, 10 kGy and 20 kGy to each target cell (i.e. repeat steps 2.16 - 2.19)</w:t>
      </w:r>
    </w:p>
    <w:p>
      <w:pPr>
        <w:pStyle w:val="ListParagraph"/>
        <w:numPr>
          <w:ilvl w:val="1"/>
          <w:numId w:val="1"/>
        </w:numPr>
        <w:ind w:left="900" w:hanging="540"/>
        <w:rPr/>
      </w:pPr>
      <w:r>
        <w:rPr/>
        <w:t>Shut off beam</w:t>
      </w:r>
    </w:p>
    <w:p>
      <w:pPr>
        <w:pStyle w:val="ListParagraph"/>
        <w:numPr>
          <w:ilvl w:val="1"/>
          <w:numId w:val="1"/>
        </w:numPr>
        <w:ind w:left="900" w:hanging="540"/>
        <w:rPr/>
      </w:pPr>
      <w:r>
        <w:rPr/>
        <w:t>PSS to Open</w:t>
      </w:r>
    </w:p>
    <w:p>
      <w:pPr>
        <w:pStyle w:val="ListParagraph"/>
        <w:numPr>
          <w:ilvl w:val="1"/>
          <w:numId w:val="1"/>
        </w:numPr>
        <w:ind w:left="900" w:hanging="540"/>
        <w:rPr/>
      </w:pPr>
      <w:r>
        <w:rPr/>
        <w:t>Retrieve rods from each target (and label them)</w:t>
      </w:r>
    </w:p>
    <w:p>
      <w:pPr>
        <w:pStyle w:val="ListParagraph"/>
        <w:numPr>
          <w:ilvl w:val="1"/>
          <w:numId w:val="1"/>
        </w:numPr>
        <w:ind w:left="900" w:hanging="540"/>
        <w:rPr/>
      </w:pPr>
      <w:r>
        <w:rPr/>
        <w:t>Repeat steps 2.3-2.31 using the raster coils instead of the solenoid.</w:t>
      </w:r>
    </w:p>
    <w:p>
      <w:pPr>
        <w:pStyle w:val="Normal"/>
        <w:rPr>
          <w:i/>
          <w:i/>
          <w:sz w:val="24"/>
        </w:rPr>
      </w:pPr>
      <w:r>
        <w:rPr>
          <w:i/>
          <w:sz w:val="24"/>
        </w:rPr>
        <w:t>Total required dosimeter rods: 104</w:t>
      </w:r>
    </w:p>
    <w:p>
      <w:pPr>
        <w:pStyle w:val="ListParagraph"/>
        <w:ind w:left="900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b/>
          <w:b/>
          <w:sz w:val="28"/>
        </w:rPr>
      </w:pPr>
      <w:r>
        <w:rPr>
          <w:b/>
          <w:sz w:val="28"/>
        </w:rPr>
        <w:t>Samples Irradiation (week 3 &amp; 4)</w:t>
      </w:r>
    </w:p>
    <w:p>
      <w:pPr>
        <w:pStyle w:val="ListParagraph"/>
        <w:numPr>
          <w:ilvl w:val="1"/>
          <w:numId w:val="3"/>
        </w:numPr>
        <w:rPr/>
      </w:pPr>
      <w:r>
        <w:rPr/>
        <w:t xml:space="preserve">Fill each of the four target cells with </w:t>
      </w:r>
      <w:r>
        <w:rPr>
          <w:color w:val="FF0000"/>
        </w:rPr>
        <w:t xml:space="preserve">DI water with 10 </w:t>
      </w:r>
      <w:r>
        <w:rPr>
          <w:rFonts w:ascii="Symbol" w:hAnsi="Symbol"/>
          <w:color w:val="FF0000"/>
        </w:rPr>
        <w:t></w:t>
      </w:r>
      <w:r>
        <w:rPr>
          <w:color w:val="FF0000"/>
        </w:rPr>
        <w:t>g/L 1,4-dioxane</w:t>
      </w:r>
      <w:r>
        <w:rPr/>
        <w:t xml:space="preserve">. </w:t>
      </w:r>
    </w:p>
    <w:p>
      <w:pPr>
        <w:pStyle w:val="ListParagraph"/>
        <w:numPr>
          <w:ilvl w:val="1"/>
          <w:numId w:val="3"/>
        </w:numPr>
        <w:rPr/>
      </w:pPr>
      <w:r>
        <w:rPr/>
        <w:t xml:space="preserve">Tape 2 dosimeter rods at the front at the outer most positions from commissioning. </w:t>
      </w:r>
    </w:p>
    <w:p>
      <w:pPr>
        <w:pStyle w:val="ListParagraph"/>
        <w:numPr>
          <w:ilvl w:val="1"/>
          <w:numId w:val="3"/>
        </w:numPr>
        <w:rPr/>
      </w:pPr>
      <w:r>
        <w:rPr/>
        <w:t>The 5</w:t>
      </w:r>
      <w:r>
        <w:rPr>
          <w:vertAlign w:val="superscript"/>
        </w:rPr>
        <w:t>th</w:t>
      </w:r>
      <w:r>
        <w:rPr/>
        <w:t xml:space="preserve"> target is the solid aluminum dummy target with X-ray screen.</w:t>
      </w:r>
    </w:p>
    <w:p>
      <w:pPr>
        <w:pStyle w:val="ListParagraph"/>
        <w:numPr>
          <w:ilvl w:val="1"/>
          <w:numId w:val="3"/>
        </w:numPr>
        <w:rPr/>
      </w:pPr>
      <w:r>
        <w:rPr/>
        <w:t>Follow steps 2.5 to 2.19 to irradiate one sample at 1 kGy, one at 5 kGy, one at 10 kGy and one at 20 kGy.</w:t>
      </w:r>
    </w:p>
    <w:p>
      <w:pPr>
        <w:pStyle w:val="ListParagraph"/>
        <w:numPr>
          <w:ilvl w:val="1"/>
          <w:numId w:val="3"/>
        </w:numPr>
        <w:rPr/>
      </w:pPr>
      <w:r>
        <w:rPr/>
        <w:t>Retrieve the samples, fill the VOA vials with the irradiated samples.</w:t>
      </w:r>
    </w:p>
    <w:p>
      <w:pPr>
        <w:pStyle w:val="ListParagraph"/>
        <w:numPr>
          <w:ilvl w:val="1"/>
          <w:numId w:val="3"/>
        </w:numPr>
        <w:rPr/>
      </w:pPr>
      <w:r>
        <w:rPr/>
        <w:t>Thoroughly rinse each target cell with DI water and wipe dry with AlphaWipe cloth.</w:t>
      </w:r>
    </w:p>
    <w:p>
      <w:pPr>
        <w:pStyle w:val="ListParagraph"/>
        <w:numPr>
          <w:ilvl w:val="1"/>
          <w:numId w:val="3"/>
        </w:numPr>
        <w:rPr/>
      </w:pPr>
      <w:r>
        <w:rPr/>
        <w:t xml:space="preserve">Fill each of the four target cells with </w:t>
      </w:r>
      <w:r>
        <w:rPr>
          <w:color w:val="FF0000"/>
        </w:rPr>
        <w:t xml:space="preserve">DI water with 100 </w:t>
      </w:r>
      <w:r>
        <w:rPr>
          <w:rFonts w:ascii="Symbol" w:hAnsi="Symbol"/>
          <w:color w:val="FF0000"/>
        </w:rPr>
        <w:t></w:t>
      </w:r>
      <w:r>
        <w:rPr>
          <w:color w:val="FF0000"/>
        </w:rPr>
        <w:t>g/L 1,4-dioxane</w:t>
      </w:r>
      <w:r>
        <w:rPr/>
        <w:t xml:space="preserve">. </w:t>
      </w:r>
    </w:p>
    <w:p>
      <w:pPr>
        <w:pStyle w:val="ListParagraph"/>
        <w:numPr>
          <w:ilvl w:val="1"/>
          <w:numId w:val="3"/>
        </w:numPr>
        <w:rPr/>
      </w:pPr>
      <w:r>
        <w:rPr/>
        <w:t>Follow steps 2. to 6.</w:t>
      </w:r>
    </w:p>
    <w:p>
      <w:pPr>
        <w:pStyle w:val="ListParagraph"/>
        <w:numPr>
          <w:ilvl w:val="1"/>
          <w:numId w:val="3"/>
        </w:numPr>
        <w:rPr/>
      </w:pPr>
      <w:r>
        <w:rPr/>
        <w:t xml:space="preserve">Fill each of the four target cells with </w:t>
      </w:r>
      <w:r>
        <w:rPr>
          <w:color w:val="FF0000"/>
        </w:rPr>
        <w:t xml:space="preserve">secondary effluent water with 10 </w:t>
      </w:r>
      <w:r>
        <w:rPr>
          <w:rFonts w:ascii="Symbol" w:hAnsi="Symbol"/>
          <w:color w:val="FF0000"/>
        </w:rPr>
        <w:t></w:t>
      </w:r>
      <w:r>
        <w:rPr>
          <w:color w:val="FF0000"/>
        </w:rPr>
        <w:t>g/L 1,4-dioxane</w:t>
      </w:r>
      <w:r>
        <w:rPr/>
        <w:t xml:space="preserve">. </w:t>
      </w:r>
    </w:p>
    <w:p>
      <w:pPr>
        <w:pStyle w:val="ListParagraph"/>
        <w:numPr>
          <w:ilvl w:val="1"/>
          <w:numId w:val="3"/>
        </w:numPr>
        <w:rPr/>
      </w:pPr>
      <w:r>
        <w:rPr/>
        <w:t>Follow steps 2. to 6.</w:t>
      </w:r>
    </w:p>
    <w:p>
      <w:pPr>
        <w:pStyle w:val="ListParagraph"/>
        <w:numPr>
          <w:ilvl w:val="1"/>
          <w:numId w:val="3"/>
        </w:numPr>
        <w:rPr/>
      </w:pPr>
      <w:r>
        <w:rPr/>
        <w:t xml:space="preserve">Fill each of the four target cells with </w:t>
      </w:r>
      <w:r>
        <w:rPr>
          <w:color w:val="FF0000"/>
        </w:rPr>
        <w:t xml:space="preserve">secondary effluent water with 100 </w:t>
      </w:r>
      <w:r>
        <w:rPr>
          <w:rFonts w:ascii="Symbol" w:hAnsi="Symbol"/>
          <w:color w:val="FF0000"/>
        </w:rPr>
        <w:t></w:t>
      </w:r>
      <w:r>
        <w:rPr>
          <w:color w:val="FF0000"/>
        </w:rPr>
        <w:t>g/L 1,4-dioxane</w:t>
      </w:r>
      <w:r>
        <w:rPr/>
        <w:t xml:space="preserve">. </w:t>
      </w:r>
    </w:p>
    <w:p>
      <w:pPr>
        <w:pStyle w:val="ListParagraph"/>
        <w:numPr>
          <w:ilvl w:val="1"/>
          <w:numId w:val="3"/>
        </w:numPr>
        <w:rPr/>
      </w:pPr>
      <w:r>
        <w:rPr/>
        <w:t>Follow steps 2. to 6.</w:t>
      </w:r>
    </w:p>
    <w:p>
      <w:pPr>
        <w:pStyle w:val="ListParagraph"/>
        <w:numPr>
          <w:ilvl w:val="1"/>
          <w:numId w:val="3"/>
        </w:numPr>
        <w:rPr/>
      </w:pPr>
      <w:r>
        <w:rPr/>
        <w:t xml:space="preserve">Fill one target cell with </w:t>
      </w:r>
      <w:r>
        <w:rPr>
          <w:color w:val="FF0000"/>
        </w:rPr>
        <w:t xml:space="preserve">DI water with 10 </w:t>
      </w:r>
      <w:r>
        <w:rPr>
          <w:rFonts w:ascii="Symbol" w:hAnsi="Symbol"/>
          <w:color w:val="FF0000"/>
        </w:rPr>
        <w:t></w:t>
      </w:r>
      <w:r>
        <w:rPr>
          <w:color w:val="FF0000"/>
        </w:rPr>
        <w:t xml:space="preserve">g/L 1,4-dioxane, </w:t>
      </w:r>
      <w:r>
        <w:rPr/>
        <w:t>one with</w:t>
      </w:r>
      <w:r>
        <w:rPr>
          <w:color w:val="FF0000"/>
        </w:rPr>
        <w:t xml:space="preserve"> DI water with 100,  </w:t>
      </w:r>
      <w:r>
        <w:rPr>
          <w:rFonts w:ascii="Symbol" w:hAnsi="Symbol"/>
          <w:color w:val="FF0000"/>
        </w:rPr>
        <w:t></w:t>
      </w:r>
      <w:r>
        <w:rPr>
          <w:color w:val="FF0000"/>
        </w:rPr>
        <w:t xml:space="preserve">g/L 1,4-dioxane, </w:t>
      </w:r>
      <w:r>
        <w:rPr/>
        <w:t xml:space="preserve">one with </w:t>
      </w:r>
      <w:r>
        <w:rPr>
          <w:color w:val="FF0000"/>
        </w:rPr>
        <w:t xml:space="preserve">secondary effluent water with 10 </w:t>
      </w:r>
      <w:r>
        <w:rPr>
          <w:rFonts w:ascii="Symbol" w:hAnsi="Symbol"/>
          <w:color w:val="FF0000"/>
        </w:rPr>
        <w:t></w:t>
      </w:r>
      <w:r>
        <w:rPr>
          <w:color w:val="FF0000"/>
        </w:rPr>
        <w:t xml:space="preserve">g/L 1,4-dioxane </w:t>
      </w:r>
      <w:r>
        <w:rPr/>
        <w:t xml:space="preserve">and one with </w:t>
      </w:r>
      <w:r>
        <w:rPr>
          <w:color w:val="FF0000"/>
        </w:rPr>
        <w:t xml:space="preserve">secondary effluent water with 100 </w:t>
      </w:r>
      <w:r>
        <w:rPr>
          <w:rFonts w:ascii="Symbol" w:hAnsi="Symbol"/>
          <w:color w:val="FF0000"/>
        </w:rPr>
        <w:t></w:t>
      </w:r>
      <w:r>
        <w:rPr>
          <w:color w:val="FF0000"/>
        </w:rPr>
        <w:t>g/L 1,4-dioxane</w:t>
      </w:r>
      <w:r>
        <w:rPr/>
        <w:t>.</w:t>
      </w:r>
    </w:p>
    <w:p>
      <w:pPr>
        <w:pStyle w:val="ListParagraph"/>
        <w:numPr>
          <w:ilvl w:val="1"/>
          <w:numId w:val="3"/>
        </w:numPr>
        <w:rPr/>
      </w:pPr>
      <w:r>
        <w:rPr/>
        <w:t>Follow steps 2. to 6. but irradiate each sample with the same 2 kGy dose.</w:t>
      </w:r>
    </w:p>
    <w:p>
      <w:pPr>
        <w:pStyle w:val="ListParagraph"/>
        <w:numPr>
          <w:ilvl w:val="1"/>
          <w:numId w:val="3"/>
        </w:numPr>
        <w:rPr/>
      </w:pPr>
      <w:r>
        <w:rPr/>
        <w:t>Repeat steps 1. to 14. using the raster coils instead of the solenoid</w:t>
      </w:r>
    </w:p>
    <w:p>
      <w:pPr>
        <w:pStyle w:val="Normal"/>
        <w:rPr>
          <w:i/>
          <w:i/>
          <w:sz w:val="24"/>
        </w:rPr>
      </w:pPr>
      <w:r>
        <w:rPr>
          <w:i/>
          <w:sz w:val="24"/>
        </w:rPr>
        <w:t>Total required dosimeter rods: 80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f56121"/>
    <w:rPr>
      <w:color w:val="80808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07e90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7123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7e9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55ACDD1394140A71FD1BED1AF49CD" ma:contentTypeVersion="10" ma:contentTypeDescription="Create a new document." ma:contentTypeScope="" ma:versionID="40eddde746e0dc13d201564105c43613">
  <xsd:schema xmlns:xsd="http://www.w3.org/2001/XMLSchema" xmlns:xs="http://www.w3.org/2001/XMLSchema" xmlns:p="http://schemas.microsoft.com/office/2006/metadata/properties" xmlns:ns2="50109e47-3657-43b3-80db-9b195035f3f0" xmlns:ns3="4326202b-22ca-4f7d-b54a-ef0f3a50ad98" targetNamespace="http://schemas.microsoft.com/office/2006/metadata/properties" ma:root="true" ma:fieldsID="104aaffca6ee192cb395506d1fcd768b" ns2:_="" ns3:_="">
    <xsd:import namespace="50109e47-3657-43b3-80db-9b195035f3f0"/>
    <xsd:import namespace="4326202b-22ca-4f7d-b54a-ef0f3a50ad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09e47-3657-43b3-80db-9b195035f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Image" ma:index="17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6202b-22ca-4f7d-b54a-ef0f3a50a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50109e47-3657-43b3-80db-9b195035f3f0" xsi:nil="true"/>
  </documentManagement>
</p:properties>
</file>

<file path=customXml/itemProps1.xml><?xml version="1.0" encoding="utf-8"?>
<ds:datastoreItem xmlns:ds="http://schemas.openxmlformats.org/officeDocument/2006/customXml" ds:itemID="{909FEAC6-63FE-40CE-8109-1F9AD943E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09e47-3657-43b3-80db-9b195035f3f0"/>
    <ds:schemaRef ds:uri="4326202b-22ca-4f7d-b54a-ef0f3a50a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7394E-95DC-43BE-A0BA-E1EE0CD2E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0B49D-1585-4E18-BE2A-ED3F62BFB73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4326202b-22ca-4f7d-b54a-ef0f3a50ad98"/>
    <ds:schemaRef ds:uri="http://purl.org/dc/elements/1.1/"/>
    <ds:schemaRef ds:uri="http://schemas.microsoft.com/office/2006/metadata/properties"/>
    <ds:schemaRef ds:uri="50109e47-3657-43b3-80db-9b195035f3f0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LibreOffice/5.3.6.1$Linux_X86_64 LibreOffice_project/30$Build-1</Application>
  <Pages>3</Pages>
  <Words>600</Words>
  <Characters>3421</Characters>
  <CharactersWithSpaces>4013</CharactersWithSpaces>
  <Paragraphs>8</Paragraphs>
  <Company>JLAB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2021-08-11T21:19:00Z</dcterms:created>
  <dc:creator>Gianluigi Ciovati</dc:creator>
  <dc:description/>
  <dc:language>en-US</dc:language>
  <cp:lastModifiedBy>Michael McCaughan</cp:lastModifiedBy>
  <dcterms:modified xsi:type="dcterms:W3CDTF">2021-08-16T12:01:49Z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JLAB</vt:lpwstr>
  </property>
  <property fmtid="{D5CDD505-2E9C-101B-9397-08002B2CF9AE}" pid="4" name="ContentTypeId">
    <vt:lpwstr>0x010100CB655ACDD1394140A71FD1BED1AF49CD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