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090"/>
        <w:gridCol w:w="6225"/>
        <w:gridCol w:w="1845"/>
      </w:tblGrid>
      <w:tr w:rsidR="00EF1099" w:rsidTr="007A4AA9">
        <w:trPr>
          <w:trHeight w:val="20"/>
          <w:jc w:val="center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1099" w:rsidRDefault="00296F84">
            <w:pPr>
              <w:pStyle w:val="Header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fa</w:t>
            </w:r>
          </w:p>
        </w:tc>
      </w:tr>
      <w:tr w:rsidR="007A4AA9" w:rsidTr="007A4AA9">
        <w:trPr>
          <w:trHeight w:val="35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AA9" w:rsidRDefault="00A84221" w:rsidP="004674A7">
            <w:pPr>
              <w:pStyle w:val="Head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46275" cy="470535"/>
                  <wp:effectExtent l="0" t="0" r="9525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AA9" w:rsidRDefault="007A4AA9" w:rsidP="00AF0990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Operational Safety Procedure Form</w:t>
            </w:r>
          </w:p>
          <w:p w:rsidR="007A4AA9" w:rsidRDefault="007A4AA9" w:rsidP="00AF0990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AF0990">
              <w:rPr>
                <w:rFonts w:ascii="Times New Roman Bold" w:hAnsi="Times New Roman Bold"/>
                <w:b/>
                <w:szCs w:val="36"/>
              </w:rPr>
              <w:t xml:space="preserve">(See </w:t>
            </w:r>
            <w:hyperlink r:id="rId9" w:history="1">
              <w:r w:rsidRPr="00AF0990">
                <w:rPr>
                  <w:rStyle w:val="Hyperlink"/>
                  <w:rFonts w:ascii="Times New Roman Bold" w:hAnsi="Times New Roman Bold"/>
                  <w:b/>
                  <w:szCs w:val="36"/>
                </w:rPr>
                <w:t>ES&amp;H Manual Chapter 3310 Appendix T1 Operational Safety Procedure (OSP) and Temporary OSP Procedure</w:t>
              </w:r>
            </w:hyperlink>
            <w:r w:rsidRPr="00AF0990">
              <w:rPr>
                <w:rFonts w:ascii="Times New Roman Bold" w:hAnsi="Times New Roman Bold"/>
                <w:b/>
                <w:szCs w:val="36"/>
              </w:rPr>
              <w:t xml:space="preserve"> for instructions.)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AA9" w:rsidRPr="00AF0990" w:rsidRDefault="00A84221" w:rsidP="00016301">
            <w:pPr>
              <w:pStyle w:val="Header"/>
              <w:jc w:val="center"/>
              <w:rPr>
                <w:rFonts w:ascii="Times New Roman Bold" w:hAnsi="Times New Roman Bold"/>
                <w:b/>
                <w:szCs w:val="36"/>
              </w:rPr>
            </w:pPr>
            <w:r>
              <w:rPr>
                <w:rFonts w:ascii="Times New Roman Bold" w:hAnsi="Times New Roman Bold"/>
                <w:b/>
                <w:noProof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969010" cy="561340"/>
                      <wp:effectExtent l="101600" t="76200" r="97790" b="124460"/>
                      <wp:docPr id="7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 prst="cross"/>
                              </a:sp3d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221" w:rsidRDefault="00A84221" w:rsidP="00A842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6"/>
                                      <w:szCs w:val="46"/>
                                    </w:rPr>
                                    <w:t>Click</w:t>
                                  </w:r>
                                </w:p>
                                <w:p w:rsidR="00A84221" w:rsidRDefault="00A84221" w:rsidP="00A842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46"/>
                                      <w:szCs w:val="46"/>
                                    </w:rPr>
                                    <w:t>For Word Doc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6" o:spid="_x0000_s1026" style="width:76.3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" fillcolor="yellow" stroked="f">
                      <v:shadow on="t" color="black" opacity="22937f" origin=",.5" offset="0,.63889mm"/>
                      <v:textbox>
                        <w:txbxContent>
                          <w:p w:rsidR="00A84221" w:rsidRDefault="00A84221" w:rsidP="00A84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Click</w:t>
                            </w:r>
                          </w:p>
                          <w:p w:rsidR="00A84221" w:rsidRDefault="00A84221" w:rsidP="00A84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46"/>
                                <w:szCs w:val="46"/>
                              </w:rPr>
                              <w:t>For Word Doc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F1099" w:rsidTr="007A4AA9">
        <w:trPr>
          <w:trHeight w:val="25"/>
          <w:jc w:val="center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1099" w:rsidRDefault="00EF1099">
            <w:pPr>
              <w:pStyle w:val="Header"/>
              <w:jc w:val="center"/>
              <w:rPr>
                <w:sz w:val="10"/>
                <w:szCs w:val="10"/>
              </w:rPr>
            </w:pPr>
          </w:p>
        </w:tc>
      </w:tr>
    </w:tbl>
    <w:p w:rsidR="00EF1099" w:rsidRPr="00C860DC" w:rsidRDefault="00EF1099">
      <w:pPr>
        <w:pStyle w:val="Header"/>
        <w:jc w:val="center"/>
        <w:rPr>
          <w:sz w:val="8"/>
          <w:szCs w:val="8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37"/>
        <w:gridCol w:w="199"/>
        <w:gridCol w:w="166"/>
        <w:gridCol w:w="1048"/>
        <w:gridCol w:w="3996"/>
        <w:gridCol w:w="982"/>
        <w:gridCol w:w="818"/>
        <w:gridCol w:w="33"/>
        <w:gridCol w:w="248"/>
        <w:gridCol w:w="677"/>
        <w:gridCol w:w="1784"/>
        <w:gridCol w:w="372"/>
      </w:tblGrid>
      <w:tr w:rsidR="00B24ECA" w:rsidTr="00BA3105">
        <w:trPr>
          <w:trHeight w:val="27"/>
          <w:jc w:val="center"/>
        </w:trPr>
        <w:tc>
          <w:tcPr>
            <w:tcW w:w="111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4ECA" w:rsidRPr="00E14277" w:rsidRDefault="00B24ECA" w:rsidP="00F302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DEFINE THE SCOPE OF WORK</w:t>
            </w:r>
          </w:p>
        </w:tc>
      </w:tr>
      <w:tr w:rsidR="00B24ECA" w:rsidTr="00BA3105">
        <w:trPr>
          <w:trHeight w:val="27"/>
          <w:jc w:val="center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24ECA" w:rsidRDefault="00B24ECA" w:rsidP="00F302FE">
            <w:pPr>
              <w:pStyle w:val="Default"/>
              <w:rPr>
                <w:sz w:val="20"/>
                <w:szCs w:val="20"/>
              </w:rPr>
            </w:pPr>
            <w:r>
              <w:rPr>
                <w:rStyle w:val="SC2414"/>
                <w:sz w:val="20"/>
                <w:szCs w:val="20"/>
              </w:rPr>
              <w:t>Title:</w:t>
            </w:r>
          </w:p>
        </w:tc>
        <w:tc>
          <w:tcPr>
            <w:tcW w:w="995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24ECA" w:rsidRPr="00B24ECA" w:rsidRDefault="005F322D" w:rsidP="00F302F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LERF photocathode re-</w:t>
            </w:r>
            <w:proofErr w:type="spellStart"/>
            <w:r w:rsidR="00B200C4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esiation</w:t>
            </w:r>
            <w:proofErr w:type="spellEnd"/>
            <w:r>
              <w:rPr>
                <w:sz w:val="28"/>
                <w:szCs w:val="28"/>
              </w:rPr>
              <w:t xml:space="preserve"> (QE rejuvenation) 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4ECA" w:rsidRPr="00B24ECA" w:rsidRDefault="00B24ECA" w:rsidP="00F302FE">
            <w:pPr>
              <w:pStyle w:val="Default"/>
            </w:pPr>
          </w:p>
        </w:tc>
      </w:tr>
      <w:tr w:rsidR="00BD7CC6" w:rsidTr="00BA3105">
        <w:trPr>
          <w:trHeight w:val="27"/>
          <w:jc w:val="center"/>
        </w:trPr>
        <w:tc>
          <w:tcPr>
            <w:tcW w:w="12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D7CC6" w:rsidRDefault="00BD7CC6" w:rsidP="00456D31">
            <w:pPr>
              <w:pStyle w:val="Default"/>
              <w:rPr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Location: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D7CC6" w:rsidRDefault="005F322D" w:rsidP="00F302FE">
            <w:pPr>
              <w:pStyle w:val="Default"/>
            </w:pPr>
            <w:r>
              <w:t xml:space="preserve">LERF vault (Bldg. 18).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D7CC6" w:rsidRPr="00BD7CC6" w:rsidRDefault="00BD7CC6" w:rsidP="00456D3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Type: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D31" w:rsidRDefault="00A84221" w:rsidP="00F302FE">
            <w:pPr>
              <w:pStyle w:val="Defaul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60020" cy="175260"/>
                      <wp:effectExtent l="0" t="0" r="17780" b="15240"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1CAC" w:rsidRDefault="00DF1CAC" w:rsidP="008F2F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7" type="#_x0000_t202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" filled="f">
                      <v:textbox inset="0,0,0,0">
                        <w:txbxContent>
                          <w:p w:rsidR="00DF1CAC" w:rsidRDefault="00DF1CAC" w:rsidP="008F2F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F322D" w:rsidRPr="005F322D">
              <w:rPr>
                <w:b/>
                <w:sz w:val="32"/>
              </w:rPr>
              <w:t>X</w:t>
            </w:r>
            <w:r w:rsidR="005F322D">
              <w:rPr>
                <w:b/>
              </w:rPr>
              <w:t xml:space="preserve"> </w:t>
            </w:r>
            <w:r w:rsidR="00456D31">
              <w:rPr>
                <w:b/>
              </w:rPr>
              <w:t>OSP</w:t>
            </w:r>
          </w:p>
          <w:p w:rsidR="00456D31" w:rsidRPr="009032C5" w:rsidRDefault="00456D31" w:rsidP="00F302FE">
            <w:pPr>
              <w:pStyle w:val="Default"/>
              <w:rPr>
                <w:sz w:val="8"/>
                <w:szCs w:val="8"/>
              </w:rPr>
            </w:pPr>
          </w:p>
          <w:p w:rsidR="00BD7CC6" w:rsidRDefault="00A84221" w:rsidP="00F302FE">
            <w:pPr>
              <w:pStyle w:val="Default"/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>
                      <wp:extent cx="160020" cy="175260"/>
                      <wp:effectExtent l="0" t="0" r="17780" b="15240"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F1CAC" w:rsidRDefault="00DF1CAC" w:rsidP="008F2F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3" o:spid="_x0000_s1028" type="#_x0000_t202" style="width:12.6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" filled="f">
                      <v:textbox inset="0,0,0,0">
                        <w:txbxContent>
                          <w:p w:rsidR="00DF1CAC" w:rsidRDefault="00DF1CAC" w:rsidP="008F2F7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6D31">
              <w:rPr>
                <w:b/>
              </w:rPr>
              <w:t xml:space="preserve"> TOSP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7CC6" w:rsidRDefault="00BD7CC6" w:rsidP="00F302FE">
            <w:pPr>
              <w:pStyle w:val="Default"/>
            </w:pPr>
          </w:p>
        </w:tc>
      </w:tr>
      <w:tr w:rsidR="00B24ECA" w:rsidTr="00BA3105">
        <w:trPr>
          <w:trHeight w:val="307"/>
          <w:jc w:val="center"/>
        </w:trPr>
        <w:tc>
          <w:tcPr>
            <w:tcW w:w="624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24ECA" w:rsidRDefault="00B24ECA" w:rsidP="00F302FE">
            <w:pPr>
              <w:pStyle w:val="Default"/>
              <w:rPr>
                <w:rStyle w:val="SC2414"/>
                <w:bCs w:val="0"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 xml:space="preserve">Risk Classification </w:t>
            </w:r>
          </w:p>
          <w:p w:rsidR="00B24ECA" w:rsidRDefault="00B24ECA" w:rsidP="00F302FE">
            <w:pPr>
              <w:pStyle w:val="Default"/>
              <w:rPr>
                <w:sz w:val="20"/>
                <w:szCs w:val="20"/>
              </w:rPr>
            </w:pPr>
            <w:r>
              <w:rPr>
                <w:rStyle w:val="SC2414"/>
                <w:b w:val="0"/>
                <w:sz w:val="20"/>
                <w:szCs w:val="20"/>
              </w:rPr>
              <w:t xml:space="preserve">(per </w:t>
            </w:r>
            <w:hyperlink r:id="rId10" w:anchor="THADef" w:history="1">
              <w:r w:rsidRPr="003F7897">
                <w:rPr>
                  <w:rStyle w:val="Hyperlink"/>
                  <w:sz w:val="20"/>
                  <w:szCs w:val="20"/>
                </w:rPr>
                <w:t>T</w:t>
              </w:r>
              <w:r>
                <w:rPr>
                  <w:rStyle w:val="Hyperlink"/>
                  <w:sz w:val="20"/>
                  <w:szCs w:val="20"/>
                </w:rPr>
                <w:t xml:space="preserve">ask </w:t>
              </w:r>
              <w:r w:rsidRPr="003F7897">
                <w:rPr>
                  <w:rStyle w:val="Hyperlink"/>
                  <w:sz w:val="20"/>
                  <w:szCs w:val="20"/>
                </w:rPr>
                <w:t>H</w:t>
              </w:r>
              <w:r>
                <w:rPr>
                  <w:rStyle w:val="Hyperlink"/>
                  <w:sz w:val="20"/>
                  <w:szCs w:val="20"/>
                </w:rPr>
                <w:t>azard Analysis</w:t>
              </w:r>
            </w:hyperlink>
            <w:r w:rsidRPr="00E14277">
              <w:rPr>
                <w:rStyle w:val="SC2414"/>
                <w:b w:val="0"/>
                <w:sz w:val="20"/>
                <w:szCs w:val="20"/>
              </w:rPr>
              <w:t xml:space="preserve"> attached)</w:t>
            </w:r>
          </w:p>
          <w:p w:rsidR="00B24ECA" w:rsidRDefault="00B24ECA" w:rsidP="00F302F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Style w:val="SC2414"/>
                <w:b w:val="0"/>
                <w:bCs w:val="0"/>
                <w:sz w:val="20"/>
                <w:szCs w:val="20"/>
              </w:rPr>
              <w:t xml:space="preserve">(See </w:t>
            </w:r>
            <w:hyperlink r:id="rId11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ESH&amp;Q Manual Chapter 3210 Appendix T3 Risk Code Assignment</w:t>
              </w:r>
            </w:hyperlink>
            <w:r>
              <w:rPr>
                <w:rStyle w:val="SC2414"/>
                <w:b w:val="0"/>
                <w:bCs w:val="0"/>
                <w:sz w:val="20"/>
                <w:szCs w:val="20"/>
              </w:rPr>
              <w:t>.)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24ECA" w:rsidRPr="00E14277" w:rsidRDefault="00B24ECA" w:rsidP="00F302FE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Highest Risk Code Before Mitigation (3 or 4):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24ECA" w:rsidRDefault="005F322D" w:rsidP="00F302FE">
            <w:pPr>
              <w:pStyle w:val="Default"/>
            </w:pPr>
            <w: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4ECA" w:rsidRDefault="00B24ECA" w:rsidP="00F302FE">
            <w:pPr>
              <w:pStyle w:val="Default"/>
            </w:pPr>
          </w:p>
        </w:tc>
      </w:tr>
      <w:tr w:rsidR="00B24ECA" w:rsidTr="00DF1CAC">
        <w:trPr>
          <w:trHeight w:val="20"/>
          <w:jc w:val="center"/>
        </w:trPr>
        <w:tc>
          <w:tcPr>
            <w:tcW w:w="6246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ECA" w:rsidRDefault="00B24ECA" w:rsidP="00F302FE">
            <w:pPr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D7CC6" w:rsidRDefault="00B24ECA" w:rsidP="00F302FE">
            <w:pPr>
              <w:pStyle w:val="Default"/>
              <w:jc w:val="right"/>
              <w:rPr>
                <w:rStyle w:val="SC2414"/>
                <w:bCs w:val="0"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 xml:space="preserve">Highest Risk Code after </w:t>
            </w:r>
          </w:p>
          <w:p w:rsidR="00B24ECA" w:rsidRDefault="00B24ECA" w:rsidP="00F302FE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Mitigation (N, 1, or 2):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24ECA" w:rsidRDefault="005F322D" w:rsidP="00F302FE">
            <w:pPr>
              <w:pStyle w:val="Default"/>
            </w:pPr>
            <w: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24ECA" w:rsidRDefault="00B24ECA" w:rsidP="00F302FE">
            <w:pPr>
              <w:pStyle w:val="Default"/>
            </w:pPr>
          </w:p>
        </w:tc>
      </w:tr>
      <w:tr w:rsidR="00BA3105" w:rsidTr="00DF1CAC">
        <w:trPr>
          <w:trHeight w:val="27"/>
          <w:jc w:val="center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3105" w:rsidRDefault="00BA3105" w:rsidP="00F302FE">
            <w:pPr>
              <w:pStyle w:val="Default"/>
              <w:tabs>
                <w:tab w:val="right" w:pos="3125"/>
              </w:tabs>
              <w:rPr>
                <w:rStyle w:val="SC2414"/>
                <w:bCs w:val="0"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Owning Organization: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3105" w:rsidRDefault="005F322D" w:rsidP="00F302FE">
            <w:pPr>
              <w:pStyle w:val="Default"/>
            </w:pPr>
            <w:r>
              <w:t>Center for Injectors and Sources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A3105" w:rsidRDefault="00BA3105" w:rsidP="00F302FE">
            <w:pPr>
              <w:pStyle w:val="Default"/>
              <w:jc w:val="right"/>
              <w:rPr>
                <w:rStyle w:val="SC2414"/>
                <w:bCs w:val="0"/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Date:</w:t>
            </w:r>
          </w:p>
        </w:tc>
        <w:tc>
          <w:tcPr>
            <w:tcW w:w="2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A3105" w:rsidRDefault="005F322D" w:rsidP="00F302FE">
            <w:pPr>
              <w:pStyle w:val="Default"/>
            </w:pPr>
            <w:r>
              <w:t>December 9, 2019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3105" w:rsidRDefault="00BA3105" w:rsidP="00F302FE">
            <w:pPr>
              <w:pStyle w:val="Default"/>
            </w:pPr>
          </w:p>
        </w:tc>
      </w:tr>
      <w:tr w:rsidR="00BA3105" w:rsidTr="00DF1CAC">
        <w:trPr>
          <w:trHeight w:val="27"/>
          <w:jc w:val="center"/>
        </w:trPr>
        <w:tc>
          <w:tcPr>
            <w:tcW w:w="22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A3105" w:rsidRDefault="00BA3105" w:rsidP="00F302FE">
            <w:pPr>
              <w:pStyle w:val="Default"/>
              <w:tabs>
                <w:tab w:val="right" w:pos="3125"/>
              </w:tabs>
              <w:rPr>
                <w:sz w:val="20"/>
                <w:szCs w:val="20"/>
              </w:rPr>
            </w:pPr>
            <w:r>
              <w:rPr>
                <w:rStyle w:val="SC2414"/>
                <w:bCs w:val="0"/>
                <w:sz w:val="20"/>
                <w:szCs w:val="20"/>
              </w:rPr>
              <w:t>Document Owner(s):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BA3105" w:rsidRDefault="005F322D" w:rsidP="00F302FE">
            <w:pPr>
              <w:pStyle w:val="Default"/>
            </w:pPr>
            <w:r>
              <w:t>C. Hernandez-Garcia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A3105" w:rsidRDefault="00BA3105" w:rsidP="00F302FE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BA3105" w:rsidRDefault="00BA3105" w:rsidP="00F302FE">
            <w:pPr>
              <w:pStyle w:val="Default"/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3105" w:rsidRDefault="00BA3105" w:rsidP="00F302FE">
            <w:pPr>
              <w:pStyle w:val="Default"/>
            </w:pPr>
          </w:p>
        </w:tc>
      </w:tr>
      <w:tr w:rsidR="00221062" w:rsidTr="00BA3105">
        <w:trPr>
          <w:trHeight w:val="267"/>
          <w:jc w:val="center"/>
        </w:trPr>
        <w:tc>
          <w:tcPr>
            <w:tcW w:w="111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1062" w:rsidRPr="00A271AB" w:rsidRDefault="00A271AB" w:rsidP="00221062">
            <w:pPr>
              <w:pStyle w:val="Default"/>
              <w:jc w:val="center"/>
              <w:rPr>
                <w:rStyle w:val="SC2414"/>
                <w:b w:val="0"/>
                <w:bCs w:val="0"/>
                <w:color w:val="auto"/>
                <w:sz w:val="20"/>
                <w:szCs w:val="20"/>
              </w:rPr>
            </w:pPr>
            <w:r w:rsidRPr="00A271AB">
              <w:rPr>
                <w:rStyle w:val="SC2414"/>
                <w:sz w:val="20"/>
                <w:szCs w:val="20"/>
              </w:rPr>
              <w:t>Document History (Optional)</w:t>
            </w:r>
          </w:p>
        </w:tc>
      </w:tr>
      <w:tr w:rsidR="00221062" w:rsidTr="00BA3105">
        <w:trPr>
          <w:trHeight w:val="420"/>
          <w:jc w:val="center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062" w:rsidRDefault="00221062" w:rsidP="00F302FE">
            <w:pPr>
              <w:pStyle w:val="Default"/>
              <w:rPr>
                <w:sz w:val="20"/>
                <w:szCs w:val="20"/>
              </w:rPr>
            </w:pPr>
            <w:r>
              <w:rPr>
                <w:rStyle w:val="SC2414"/>
                <w:sz w:val="20"/>
                <w:szCs w:val="20"/>
              </w:rPr>
              <w:t>Revision:</w:t>
            </w:r>
          </w:p>
        </w:tc>
        <w:tc>
          <w:tcPr>
            <w:tcW w:w="7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062" w:rsidRDefault="00221062" w:rsidP="00F302FE">
            <w:pPr>
              <w:pStyle w:val="Default"/>
              <w:rPr>
                <w:sz w:val="20"/>
                <w:szCs w:val="20"/>
              </w:rPr>
            </w:pPr>
            <w:r>
              <w:rPr>
                <w:rStyle w:val="SC2414"/>
                <w:sz w:val="20"/>
                <w:szCs w:val="20"/>
              </w:rPr>
              <w:t>Reason for revision or update: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1062" w:rsidRDefault="00221062" w:rsidP="00F302F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Style w:val="SC2414"/>
                <w:sz w:val="20"/>
                <w:szCs w:val="20"/>
              </w:rPr>
              <w:t>Serial number of superseded document</w:t>
            </w:r>
          </w:p>
        </w:tc>
      </w:tr>
      <w:tr w:rsidR="00221062" w:rsidTr="00BA3105">
        <w:trPr>
          <w:trHeight w:val="402"/>
          <w:jc w:val="center"/>
        </w:trPr>
        <w:tc>
          <w:tcPr>
            <w:tcW w:w="1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062" w:rsidRPr="00A271AB" w:rsidRDefault="00221062" w:rsidP="00221062">
            <w:pPr>
              <w:pStyle w:val="Default"/>
              <w:rPr>
                <w:rStyle w:val="SC2414"/>
                <w:b w:val="0"/>
              </w:rPr>
            </w:pPr>
          </w:p>
        </w:tc>
        <w:tc>
          <w:tcPr>
            <w:tcW w:w="72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062" w:rsidRPr="00A271AB" w:rsidRDefault="00221062" w:rsidP="00221062">
            <w:pPr>
              <w:pStyle w:val="Default"/>
              <w:rPr>
                <w:rStyle w:val="SC2414"/>
                <w:b w:val="0"/>
              </w:rPr>
            </w:pP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062" w:rsidRPr="00A271AB" w:rsidRDefault="00221062" w:rsidP="00221062">
            <w:pPr>
              <w:pStyle w:val="Default"/>
              <w:rPr>
                <w:rStyle w:val="SC2414"/>
                <w:b w:val="0"/>
              </w:rPr>
            </w:pPr>
          </w:p>
        </w:tc>
      </w:tr>
    </w:tbl>
    <w:p w:rsidR="001F3719" w:rsidRPr="001F3719" w:rsidRDefault="001F3719">
      <w:pPr>
        <w:rPr>
          <w:sz w:val="8"/>
          <w:szCs w:val="8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0620"/>
      </w:tblGrid>
      <w:tr w:rsidR="00741F3C" w:rsidTr="00FD3467">
        <w:trPr>
          <w:jc w:val="center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1F3C" w:rsidRPr="00741F3C" w:rsidRDefault="006D59B7" w:rsidP="004D2553">
            <w:pPr>
              <w:ind w:left="360"/>
              <w:jc w:val="center"/>
              <w:rPr>
                <w:b/>
              </w:rPr>
            </w:pPr>
            <w:r w:rsidRPr="00741F3C">
              <w:rPr>
                <w:b/>
              </w:rPr>
              <w:t>ANALYZE THE HAZARDS</w:t>
            </w:r>
          </w:p>
        </w:tc>
      </w:tr>
      <w:tr w:rsidR="007E33B6" w:rsidTr="00FD3467">
        <w:trPr>
          <w:jc w:val="center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7E33B6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the Procedure</w:t>
            </w:r>
            <w:r w:rsidR="008C08A2">
              <w:rPr>
                <w:b/>
                <w:sz w:val="20"/>
                <w:szCs w:val="20"/>
              </w:rPr>
              <w:t xml:space="preserve"> – </w:t>
            </w:r>
            <w:r w:rsidR="008C08A2" w:rsidRPr="008C08A2">
              <w:rPr>
                <w:sz w:val="20"/>
                <w:szCs w:val="20"/>
              </w:rPr>
              <w:t xml:space="preserve">Describe </w:t>
            </w:r>
            <w:r w:rsidR="008C08A2">
              <w:rPr>
                <w:sz w:val="20"/>
                <w:szCs w:val="20"/>
              </w:rPr>
              <w:t>in detail the reason for the procedure (what is being done and why).</w:t>
            </w:r>
          </w:p>
        </w:tc>
      </w:tr>
      <w:tr w:rsidR="007E33B6" w:rsidTr="00BD5E6B">
        <w:trPr>
          <w:trHeight w:val="2215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1E3B61" w:rsidP="00BD5E6B">
            <w:pPr>
              <w:ind w:left="720"/>
              <w:jc w:val="left"/>
            </w:pPr>
            <w:r>
              <w:t>This document describes the LERF gun photocathode re-</w:t>
            </w:r>
            <w:proofErr w:type="spellStart"/>
            <w:r>
              <w:t>cesiation</w:t>
            </w:r>
            <w:proofErr w:type="spellEnd"/>
            <w:r>
              <w:t xml:space="preserve"> procedure </w:t>
            </w:r>
            <w:r w:rsidR="00B21337">
              <w:t>required to maintain the photocathode operational and ready to deliver electron beam when needed.</w:t>
            </w:r>
            <w:r>
              <w:t xml:space="preserve"> A re-</w:t>
            </w:r>
            <w:proofErr w:type="spellStart"/>
            <w:r>
              <w:t>cesiation</w:t>
            </w:r>
            <w:proofErr w:type="spellEnd"/>
            <w:r>
              <w:t xml:space="preserve"> is performed to replenish the </w:t>
            </w:r>
            <w:r w:rsidR="00B21337">
              <w:t>photocathode quantum efficiency (</w:t>
            </w:r>
            <w:r>
              <w:t>QE</w:t>
            </w:r>
            <w:r w:rsidR="00B21337">
              <w:t>)</w:t>
            </w:r>
            <w:r>
              <w:t xml:space="preserve"> by applying a fresh coat of Cs to the </w:t>
            </w:r>
            <w:r w:rsidR="00B21337">
              <w:t xml:space="preserve">photocathode </w:t>
            </w:r>
            <w:r>
              <w:t>cathode</w:t>
            </w:r>
            <w:r w:rsidR="00B21337">
              <w:t xml:space="preserve"> under the </w:t>
            </w:r>
            <w:r w:rsidR="00532486">
              <w:t xml:space="preserve">nominal </w:t>
            </w:r>
            <w:r w:rsidR="00B21337">
              <w:t xml:space="preserve">vacuum conditions inside the gun </w:t>
            </w:r>
            <w:r w:rsidR="00E854B8">
              <w:t>vacuum</w:t>
            </w:r>
            <w:r w:rsidR="00B21337">
              <w:t xml:space="preserve"> chamber</w:t>
            </w:r>
            <w:r>
              <w:t xml:space="preserve">. </w:t>
            </w:r>
          </w:p>
        </w:tc>
      </w:tr>
      <w:tr w:rsidR="007E33B6" w:rsidTr="00FD3467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7E33B6" w:rsidP="00AA4C9B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Scope – </w:t>
            </w:r>
            <w:r>
              <w:rPr>
                <w:sz w:val="20"/>
                <w:szCs w:val="20"/>
              </w:rPr>
              <w:t xml:space="preserve">include </w:t>
            </w:r>
            <w:r w:rsidR="00AA4C9B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operations, people, and/or areas </w:t>
            </w:r>
            <w:r w:rsidR="00AA4C9B">
              <w:rPr>
                <w:sz w:val="20"/>
                <w:szCs w:val="20"/>
              </w:rPr>
              <w:t>that the</w:t>
            </w:r>
            <w:r>
              <w:rPr>
                <w:sz w:val="20"/>
                <w:szCs w:val="20"/>
              </w:rPr>
              <w:t xml:space="preserve"> procedure </w:t>
            </w:r>
            <w:r w:rsidR="00AA4C9B">
              <w:rPr>
                <w:sz w:val="20"/>
                <w:szCs w:val="20"/>
              </w:rPr>
              <w:t>will affect.</w:t>
            </w:r>
          </w:p>
        </w:tc>
      </w:tr>
      <w:tr w:rsidR="007E33B6" w:rsidTr="00BD5E6B">
        <w:trPr>
          <w:trHeight w:val="217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A22600" w:rsidP="00BD5E6B">
            <w:pPr>
              <w:ind w:left="720"/>
              <w:jc w:val="left"/>
              <w:rPr>
                <w:rStyle w:val="Hyperlink"/>
              </w:rPr>
            </w:pPr>
            <w:r>
              <w:t xml:space="preserve">The procedure </w:t>
            </w:r>
            <w:r w:rsidR="00D42779">
              <w:t>requires access to the LERF vault where the photocathode gun is located. It also requires de-energizing and LT&amp;T the 208 VAC 3-phase knife switch that feeds the gun high voltage power supply (HVPS)</w:t>
            </w:r>
            <w:r w:rsidR="006C639B">
              <w:t xml:space="preserve">. </w:t>
            </w:r>
          </w:p>
          <w:p w:rsidR="00D42779" w:rsidRDefault="00D42779" w:rsidP="00BD5E6B">
            <w:pPr>
              <w:ind w:left="720"/>
              <w:jc w:val="left"/>
            </w:pPr>
          </w:p>
          <w:p w:rsidR="00D42779" w:rsidRDefault="00D42779" w:rsidP="00BD5E6B">
            <w:pPr>
              <w:ind w:left="720"/>
              <w:jc w:val="left"/>
            </w:pPr>
            <w:r>
              <w:t>Access to the LERF vault is controlled by the PSS.</w:t>
            </w:r>
          </w:p>
        </w:tc>
      </w:tr>
      <w:tr w:rsidR="007E33B6" w:rsidTr="00FD3467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Pr="00AA4C9B" w:rsidRDefault="007E33B6" w:rsidP="00AA4C9B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the Facility</w:t>
            </w:r>
            <w:r w:rsidR="00AA4C9B">
              <w:rPr>
                <w:b/>
                <w:sz w:val="20"/>
                <w:szCs w:val="20"/>
              </w:rPr>
              <w:t xml:space="preserve"> – </w:t>
            </w:r>
            <w:r w:rsidRPr="00AA4C9B">
              <w:rPr>
                <w:sz w:val="20"/>
                <w:szCs w:val="20"/>
              </w:rPr>
              <w:t>include floor plans and layout of a typical experiment or operation</w:t>
            </w:r>
            <w:r w:rsidR="00AA4C9B">
              <w:rPr>
                <w:sz w:val="20"/>
                <w:szCs w:val="20"/>
              </w:rPr>
              <w:t>.</w:t>
            </w:r>
          </w:p>
        </w:tc>
      </w:tr>
      <w:tr w:rsidR="007E33B6" w:rsidTr="00BD5E6B">
        <w:trPr>
          <w:trHeight w:val="145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D42779" w:rsidP="00BD5E6B">
            <w:pPr>
              <w:ind w:left="720"/>
              <w:jc w:val="left"/>
            </w:pPr>
            <w:r>
              <w:t xml:space="preserve">The LERF vault is the foundation of Building 18. The photocathode gun is </w:t>
            </w:r>
            <w:r w:rsidR="000A63F1">
              <w:t xml:space="preserve">enclosed in an aluminum </w:t>
            </w:r>
            <w:r w:rsidR="00E854B8">
              <w:t>vessel</w:t>
            </w:r>
            <w:r w:rsidR="000A63F1">
              <w:t xml:space="preserve"> filled to 10 psi of SF6 (insulating gas) </w:t>
            </w:r>
            <w:r w:rsidR="00E854B8">
              <w:t>that shares volume with</w:t>
            </w:r>
            <w:r w:rsidR="000A63F1">
              <w:t xml:space="preserve"> the 600 kV DC 10 mA high voltage power supply (HVPS) SF6 </w:t>
            </w:r>
            <w:r w:rsidR="00E854B8">
              <w:t>vessel through a 24 inch diameter tube connecting the two vessels.</w:t>
            </w:r>
            <w:r w:rsidR="000A63F1">
              <w:t xml:space="preserve"> </w:t>
            </w:r>
            <w:r w:rsidR="00E854B8">
              <w:t>B</w:t>
            </w:r>
            <w:r w:rsidR="000A63F1">
              <w:t xml:space="preserve">oth are </w:t>
            </w:r>
            <w:r>
              <w:t xml:space="preserve">located </w:t>
            </w:r>
            <w:r w:rsidR="000A63F1">
              <w:t>i</w:t>
            </w:r>
            <w:r>
              <w:t>n the injector pit</w:t>
            </w:r>
            <w:r w:rsidR="00E854B8">
              <w:t xml:space="preserve"> which is located </w:t>
            </w:r>
            <w:r>
              <w:t xml:space="preserve">to the right of the vault main entrance. </w:t>
            </w:r>
          </w:p>
        </w:tc>
      </w:tr>
      <w:tr w:rsidR="007E33B6" w:rsidTr="00FD3467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7E33B6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Authority and Responsibility:</w:t>
            </w:r>
          </w:p>
        </w:tc>
      </w:tr>
      <w:tr w:rsidR="007E33B6" w:rsidTr="00AA4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7E33B6" w:rsidRDefault="007E33B6">
            <w:pPr>
              <w:ind w:left="3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C47C6" w:rsidRPr="007C47C6" w:rsidRDefault="007E33B6" w:rsidP="007C47C6">
            <w:pPr>
              <w:numPr>
                <w:ilvl w:val="1"/>
                <w:numId w:val="10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 w:rsidRPr="007C47C6">
              <w:rPr>
                <w:b/>
                <w:sz w:val="20"/>
                <w:szCs w:val="20"/>
              </w:rPr>
              <w:t>Who has authority to implement/terminate</w:t>
            </w:r>
          </w:p>
        </w:tc>
      </w:tr>
      <w:tr w:rsidR="007C47C6" w:rsidTr="00BD5E6B">
        <w:trPr>
          <w:trHeight w:val="164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C47C6" w:rsidRDefault="007C47C6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C6" w:rsidRDefault="00004F30" w:rsidP="00BD5E6B">
            <w:pPr>
              <w:ind w:left="720"/>
              <w:jc w:val="left"/>
            </w:pPr>
            <w:r>
              <w:t>The Director of Operations.</w:t>
            </w:r>
            <w:r w:rsidR="00902AA1">
              <w:t xml:space="preserve"> The Center for Injectors and Sources group leader or designee. </w:t>
            </w:r>
          </w:p>
        </w:tc>
      </w:tr>
      <w:tr w:rsidR="007C47C6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7C47C6" w:rsidRDefault="007C47C6">
            <w:pPr>
              <w:ind w:left="3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C47C6" w:rsidRPr="007C47C6" w:rsidRDefault="007C47C6" w:rsidP="007C47C6">
            <w:pPr>
              <w:numPr>
                <w:ilvl w:val="1"/>
                <w:numId w:val="10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 w:rsidRPr="007C47C6">
              <w:rPr>
                <w:b/>
                <w:sz w:val="20"/>
                <w:szCs w:val="20"/>
              </w:rPr>
              <w:t xml:space="preserve">Who </w:t>
            </w:r>
            <w:r>
              <w:rPr>
                <w:b/>
                <w:sz w:val="20"/>
                <w:szCs w:val="20"/>
              </w:rPr>
              <w:t>is responsible for key tasks</w:t>
            </w:r>
          </w:p>
        </w:tc>
      </w:tr>
      <w:tr w:rsidR="007C47C6" w:rsidTr="00BD5E6B">
        <w:trPr>
          <w:trHeight w:val="12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C47C6" w:rsidRDefault="007C47C6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C6" w:rsidRPr="006E0091" w:rsidRDefault="00004F30" w:rsidP="00BD5E6B">
            <w:pPr>
              <w:ind w:left="695"/>
              <w:jc w:val="left"/>
            </w:pPr>
            <w:r>
              <w:t xml:space="preserve">The Center for Injectors and </w:t>
            </w:r>
            <w:r w:rsidR="00B441A9">
              <w:t>S</w:t>
            </w:r>
            <w:r>
              <w:t>ources (electron gun group) designee performs the procedure described in this document.</w:t>
            </w:r>
          </w:p>
        </w:tc>
      </w:tr>
      <w:tr w:rsidR="007C47C6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C47C6" w:rsidRDefault="007C47C6" w:rsidP="007C47C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C47C6" w:rsidRPr="007C47C6" w:rsidRDefault="007C47C6" w:rsidP="007C47C6">
            <w:pPr>
              <w:numPr>
                <w:ilvl w:val="1"/>
                <w:numId w:val="10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 w:rsidRPr="007C47C6">
              <w:rPr>
                <w:b/>
                <w:sz w:val="20"/>
                <w:szCs w:val="20"/>
              </w:rPr>
              <w:t xml:space="preserve">Who analyzes the special or unusual hazards </w:t>
            </w:r>
            <w:r w:rsidRPr="00A21F0F">
              <w:rPr>
                <w:sz w:val="20"/>
                <w:szCs w:val="20"/>
              </w:rPr>
              <w:t xml:space="preserve">(See </w:t>
            </w:r>
            <w:hyperlink r:id="rId12" w:history="1">
              <w:r w:rsidRPr="00A21F0F">
                <w:rPr>
                  <w:rStyle w:val="Hyperlink"/>
                  <w:bCs/>
                  <w:sz w:val="20"/>
                  <w:szCs w:val="20"/>
                </w:rPr>
                <w:t>ES&amp;H Manual Chapter 3210 Appendix T1 Work Planning, Control, and Authorization Procedure</w:t>
              </w:r>
            </w:hyperlink>
            <w:r w:rsidRPr="00A21F0F">
              <w:rPr>
                <w:sz w:val="20"/>
                <w:szCs w:val="20"/>
              </w:rPr>
              <w:t>)</w:t>
            </w:r>
          </w:p>
        </w:tc>
      </w:tr>
      <w:tr w:rsidR="007C47C6" w:rsidTr="00BD5E6B">
        <w:trPr>
          <w:trHeight w:val="163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C47C6" w:rsidRDefault="007C47C6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7C6" w:rsidRDefault="00902AA1" w:rsidP="00BD5E6B">
            <w:pPr>
              <w:ind w:left="720"/>
              <w:jc w:val="left"/>
            </w:pPr>
            <w:r>
              <w:t>Electrical Safety: Tim Fitzgerald (</w:t>
            </w:r>
            <w:hyperlink r:id="rId13" w:history="1">
              <w:r w:rsidRPr="006B263A">
                <w:rPr>
                  <w:rStyle w:val="Hyperlink"/>
                </w:rPr>
                <w:t>tfitzger@jlab.org</w:t>
              </w:r>
            </w:hyperlink>
            <w:r>
              <w:t>), x7052</w:t>
            </w:r>
          </w:p>
        </w:tc>
      </w:tr>
      <w:tr w:rsidR="007A2EDA" w:rsidTr="007A2EDA">
        <w:trPr>
          <w:trHeight w:val="163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2EDA" w:rsidRPr="007C47C6" w:rsidRDefault="007A2EDA" w:rsidP="002143FB">
            <w:pPr>
              <w:numPr>
                <w:ilvl w:val="1"/>
                <w:numId w:val="10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Training Requirements</w:t>
            </w:r>
            <w:r w:rsidR="00A21F0F">
              <w:rPr>
                <w:b/>
                <w:sz w:val="20"/>
                <w:szCs w:val="20"/>
              </w:rPr>
              <w:t xml:space="preserve"> </w:t>
            </w:r>
            <w:r w:rsidR="00A21F0F">
              <w:rPr>
                <w:sz w:val="20"/>
              </w:rPr>
              <w:t>(</w:t>
            </w:r>
            <w:r w:rsidR="00A21F0F" w:rsidRPr="00920832">
              <w:rPr>
                <w:sz w:val="20"/>
              </w:rPr>
              <w:t xml:space="preserve">See </w:t>
            </w:r>
            <w:hyperlink r:id="rId14" w:history="1">
              <w:r w:rsidR="00A21F0F" w:rsidRPr="00920832">
                <w:rPr>
                  <w:rStyle w:val="Hyperlink"/>
                  <w:sz w:val="20"/>
                </w:rPr>
                <w:t>http://www.jlab.org/div_dept/train/poc.pdf</w:t>
              </w:r>
            </w:hyperlink>
            <w:r w:rsidR="00A21F0F">
              <w:rPr>
                <w:sz w:val="20"/>
              </w:rPr>
              <w:t>)</w:t>
            </w:r>
          </w:p>
        </w:tc>
      </w:tr>
      <w:tr w:rsidR="007A2EDA" w:rsidTr="00BD5E6B">
        <w:trPr>
          <w:trHeight w:val="163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5B0A" w:rsidRDefault="00845B0A" w:rsidP="00845B0A">
            <w:pPr>
              <w:ind w:left="720"/>
              <w:jc w:val="left"/>
            </w:pPr>
            <w:r>
              <w:t xml:space="preserve">SAF801 </w:t>
            </w:r>
            <w:r w:rsidR="00561B4C">
              <w:t xml:space="preserve">      </w:t>
            </w:r>
            <w:r>
              <w:t>Radiation Worker I</w:t>
            </w:r>
          </w:p>
          <w:p w:rsidR="00845B0A" w:rsidRDefault="00845B0A" w:rsidP="00845B0A">
            <w:pPr>
              <w:ind w:left="720"/>
              <w:jc w:val="left"/>
            </w:pPr>
            <w:r>
              <w:t xml:space="preserve">SAF103 </w:t>
            </w:r>
            <w:r w:rsidR="00561B4C">
              <w:t xml:space="preserve">      </w:t>
            </w:r>
            <w:r>
              <w:t>Oxygen Deficiency Hazard</w:t>
            </w:r>
          </w:p>
          <w:p w:rsidR="007A2EDA" w:rsidRDefault="00845B0A" w:rsidP="00845B0A">
            <w:pPr>
              <w:ind w:left="720"/>
              <w:jc w:val="left"/>
            </w:pPr>
            <w:r>
              <w:t xml:space="preserve">SAF143kd </w:t>
            </w:r>
            <w:r w:rsidR="00561B4C">
              <w:t xml:space="preserve">  </w:t>
            </w:r>
            <w:r>
              <w:t>LERF Safety Awareness</w:t>
            </w:r>
          </w:p>
          <w:p w:rsidR="00845B0A" w:rsidRDefault="00845B0A" w:rsidP="00845B0A">
            <w:pPr>
              <w:ind w:left="720"/>
              <w:jc w:val="left"/>
            </w:pPr>
            <w:r>
              <w:t>SAF603A</w:t>
            </w:r>
            <w:r w:rsidR="00561B4C">
              <w:t xml:space="preserve">    Electrical Safety Awareness: Classes, Modes, etc.</w:t>
            </w:r>
          </w:p>
          <w:p w:rsidR="00561B4C" w:rsidRDefault="00561B4C" w:rsidP="00845B0A">
            <w:pPr>
              <w:ind w:left="720"/>
              <w:jc w:val="left"/>
            </w:pPr>
            <w:r>
              <w:t>SAF603S    Switching of Electrical Equipment</w:t>
            </w:r>
          </w:p>
          <w:p w:rsidR="00561B4C" w:rsidRDefault="00561B4C" w:rsidP="00845B0A">
            <w:pPr>
              <w:ind w:left="720"/>
              <w:jc w:val="left"/>
            </w:pPr>
            <w:r>
              <w:t>This OSP</w:t>
            </w:r>
          </w:p>
        </w:tc>
      </w:tr>
      <w:tr w:rsidR="007A2EDA" w:rsidTr="00FD3467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A2EDA" w:rsidRDefault="007A2EDA" w:rsidP="0025114D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and </w:t>
            </w:r>
            <w:r w:rsidR="00F302FE">
              <w:rPr>
                <w:b/>
                <w:sz w:val="20"/>
                <w:szCs w:val="20"/>
              </w:rPr>
              <w:t>Environmental Hazard Controls Including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2EDA" w:rsidTr="006144CA">
        <w:trPr>
          <w:trHeight w:val="299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2EDA" w:rsidRDefault="007A2EDA" w:rsidP="006144CA">
            <w:pPr>
              <w:numPr>
                <w:ilvl w:val="1"/>
                <w:numId w:val="14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Shielding</w:t>
            </w:r>
          </w:p>
        </w:tc>
      </w:tr>
      <w:tr w:rsidR="007A2EDA" w:rsidTr="00BD5E6B">
        <w:trPr>
          <w:trHeight w:val="299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A2EDA" w:rsidRDefault="006C639B" w:rsidP="00BD5E6B">
            <w:pPr>
              <w:ind w:left="720"/>
              <w:jc w:val="left"/>
            </w:pPr>
            <w:r>
              <w:t xml:space="preserve">N/A: The task is performed with PSS </w:t>
            </w:r>
            <w:r w:rsidR="00B441A9">
              <w:t>state</w:t>
            </w:r>
            <w:r>
              <w:t xml:space="preserve"> either </w:t>
            </w:r>
            <w:r w:rsidR="00B441A9">
              <w:t xml:space="preserve">in </w:t>
            </w:r>
            <w:r>
              <w:t xml:space="preserve">Restricted or </w:t>
            </w:r>
            <w:r w:rsidR="00B441A9">
              <w:t xml:space="preserve">in </w:t>
            </w:r>
            <w:r>
              <w:t>Controlled Access</w:t>
            </w:r>
          </w:p>
        </w:tc>
      </w:tr>
      <w:tr w:rsidR="007A2EDA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7A2EDA" w:rsidRDefault="007A2EDA">
            <w:pPr>
              <w:ind w:left="3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A2EDA" w:rsidRDefault="007A2EDA" w:rsidP="0025114D">
            <w:pPr>
              <w:numPr>
                <w:ilvl w:val="1"/>
                <w:numId w:val="14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Interlocks</w:t>
            </w:r>
          </w:p>
        </w:tc>
      </w:tr>
      <w:tr w:rsidR="007A2EDA" w:rsidTr="00BD5E6B">
        <w:trPr>
          <w:trHeight w:val="21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2EDA" w:rsidRDefault="006C639B" w:rsidP="00BD5E6B">
            <w:pPr>
              <w:ind w:left="720"/>
              <w:jc w:val="left"/>
            </w:pPr>
            <w:r>
              <w:t>N/A</w:t>
            </w:r>
          </w:p>
        </w:tc>
      </w:tr>
      <w:tr w:rsidR="007A2EDA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7A2EDA" w:rsidRDefault="007A2EDA">
            <w:pPr>
              <w:ind w:left="72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A2EDA" w:rsidRDefault="007A2EDA" w:rsidP="0025114D">
            <w:pPr>
              <w:numPr>
                <w:ilvl w:val="1"/>
                <w:numId w:val="14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Monitoring systems</w:t>
            </w:r>
          </w:p>
        </w:tc>
      </w:tr>
      <w:tr w:rsidR="007A2EDA" w:rsidTr="00BD5E6B">
        <w:trPr>
          <w:trHeight w:val="21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639B" w:rsidRDefault="006C639B" w:rsidP="006C63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3-phase Voltage Verification Unit with needle and LED indicators mounted above the gun HVPS knife switch. </w:t>
            </w:r>
          </w:p>
          <w:p w:rsidR="007A2EDA" w:rsidRDefault="006C639B" w:rsidP="006C639B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The LERF vault has its own Radiation and ODH monitoring systems.</w:t>
            </w:r>
          </w:p>
        </w:tc>
      </w:tr>
      <w:tr w:rsidR="007A2EDA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 w:rsidP="004B56F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2EDA" w:rsidRDefault="007A2EDA" w:rsidP="0025114D">
            <w:pPr>
              <w:numPr>
                <w:ilvl w:val="1"/>
                <w:numId w:val="14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Ventilation</w:t>
            </w:r>
          </w:p>
        </w:tc>
      </w:tr>
      <w:tr w:rsidR="007A2EDA" w:rsidTr="00BD5E6B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EDA" w:rsidRDefault="006C639B" w:rsidP="00BD5E6B">
            <w:pPr>
              <w:ind w:left="720"/>
              <w:jc w:val="left"/>
            </w:pPr>
            <w:r>
              <w:t>The LERF vault has its own ventilation and ODH monitoring system.</w:t>
            </w:r>
          </w:p>
        </w:tc>
      </w:tr>
      <w:tr w:rsidR="007A2EDA" w:rsidTr="00AA4C9B">
        <w:trPr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 w:rsidP="004B56F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2EDA" w:rsidRDefault="007A2EDA" w:rsidP="00CF76DD">
            <w:pPr>
              <w:numPr>
                <w:ilvl w:val="1"/>
                <w:numId w:val="14"/>
              </w:numPr>
              <w:ind w:left="513" w:hanging="513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="007D4DC9">
              <w:rPr>
                <w:b/>
                <w:sz w:val="20"/>
                <w:szCs w:val="20"/>
              </w:rPr>
              <w:t xml:space="preserve"> (Electrical, ODH, Trip, Ladder)</w:t>
            </w:r>
            <w:r w:rsidR="00CF76DD">
              <w:rPr>
                <w:sz w:val="20"/>
                <w:szCs w:val="20"/>
              </w:rPr>
              <w:t xml:space="preserve"> (Attach related Temporary Work Permits or Safety Reviews as appropriate.)</w:t>
            </w:r>
          </w:p>
        </w:tc>
      </w:tr>
      <w:tr w:rsidR="007A2EDA" w:rsidTr="00BD5E6B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7A2EDA" w:rsidRDefault="007A2EDA">
            <w:pPr>
              <w:ind w:left="720"/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EDA" w:rsidRDefault="006C639B" w:rsidP="00BD5E6B">
            <w:pPr>
              <w:ind w:left="720"/>
              <w:jc w:val="left"/>
            </w:pPr>
            <w:r>
              <w:t xml:space="preserve">The injector pit is 27 inches lower than the vault floor. Be mindful of the two steps leading </w:t>
            </w:r>
            <w:r w:rsidR="00950D87">
              <w:t xml:space="preserve">down </w:t>
            </w:r>
            <w:r>
              <w:t>to the injector pit</w:t>
            </w:r>
            <w:r w:rsidR="00950D87">
              <w:t xml:space="preserve"> floor level</w:t>
            </w:r>
            <w:r>
              <w:t xml:space="preserve">. </w:t>
            </w:r>
          </w:p>
        </w:tc>
      </w:tr>
      <w:tr w:rsidR="004D2553" w:rsidTr="00FD3467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Pr="004D2553" w:rsidRDefault="004D2553" w:rsidP="004D2553">
            <w:pPr>
              <w:numPr>
                <w:ilvl w:val="0"/>
                <w:numId w:val="2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 Safety Equipment:</w:t>
            </w:r>
          </w:p>
        </w:tc>
      </w:tr>
      <w:tr w:rsidR="004D2553" w:rsidTr="006144CA">
        <w:trPr>
          <w:trHeight w:val="208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Pr="00AA4C9B" w:rsidRDefault="004D2553" w:rsidP="00AA4C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2553" w:rsidRDefault="004D2553" w:rsidP="004D2553">
            <w:pPr>
              <w:numPr>
                <w:ilvl w:val="1"/>
                <w:numId w:val="2"/>
              </w:numPr>
              <w:ind w:left="515" w:hanging="51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 Safety Equipment:</w:t>
            </w:r>
          </w:p>
        </w:tc>
      </w:tr>
      <w:tr w:rsidR="004D2553" w:rsidTr="00BD5E6B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Default="004D2553" w:rsidP="00AA4C9B">
            <w:pPr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553" w:rsidRDefault="00B83E6B" w:rsidP="00BD5E6B">
            <w:pPr>
              <w:jc w:val="left"/>
            </w:pPr>
            <w:r>
              <w:t>No specialized safety equipment beyond standard clothing requirements to access the LERF vault</w:t>
            </w:r>
            <w:r w:rsidR="007808BF">
              <w:t>.</w:t>
            </w:r>
          </w:p>
        </w:tc>
      </w:tr>
      <w:tr w:rsidR="004D2553" w:rsidTr="006144CA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Pr="00F54850" w:rsidRDefault="004D2553" w:rsidP="00AA4C9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2553" w:rsidRDefault="004D2553" w:rsidP="004D2553">
            <w:pPr>
              <w:numPr>
                <w:ilvl w:val="1"/>
                <w:numId w:val="2"/>
              </w:numPr>
              <w:ind w:left="515" w:hanging="51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Tools:</w:t>
            </w:r>
          </w:p>
        </w:tc>
      </w:tr>
      <w:tr w:rsidR="004D2553" w:rsidTr="00BD5E6B">
        <w:trPr>
          <w:trHeight w:val="208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Default="004D2553" w:rsidP="00AA4C9B">
            <w:pPr>
              <w:jc w:val="left"/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2553" w:rsidRDefault="007808BF" w:rsidP="00BD5E6B">
            <w:pPr>
              <w:jc w:val="left"/>
            </w:pPr>
            <w:r>
              <w:t>None.</w:t>
            </w:r>
          </w:p>
        </w:tc>
      </w:tr>
    </w:tbl>
    <w:p w:rsidR="004B56F0" w:rsidRDefault="004B56F0">
      <w:pPr>
        <w:rPr>
          <w:sz w:val="8"/>
          <w:szCs w:val="8"/>
        </w:rPr>
      </w:pPr>
    </w:p>
    <w:tbl>
      <w:tblPr>
        <w:tblW w:w="11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0647"/>
      </w:tblGrid>
      <w:tr w:rsidR="00741F3C" w:rsidTr="005F41CB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1F3C" w:rsidRPr="004B56F0" w:rsidRDefault="006D59B7" w:rsidP="004B56F0">
            <w:pPr>
              <w:jc w:val="center"/>
              <w:rPr>
                <w:b/>
              </w:rPr>
            </w:pPr>
            <w:r>
              <w:rPr>
                <w:b/>
              </w:rPr>
              <w:t>DEVELOP THE PROCEDURE</w:t>
            </w:r>
          </w:p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7E33B6" w:rsidP="00D74B8C">
            <w:pPr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Associated </w:t>
            </w:r>
            <w:r w:rsidR="00D74B8C">
              <w:rPr>
                <w:b/>
                <w:sz w:val="20"/>
                <w:szCs w:val="20"/>
              </w:rPr>
              <w:t xml:space="preserve">Administrative Controls  </w:t>
            </w:r>
          </w:p>
        </w:tc>
      </w:tr>
      <w:tr w:rsidR="007E33B6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8BF" w:rsidRDefault="00B441A9" w:rsidP="007808BF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t xml:space="preserve">Create and submit an </w:t>
            </w:r>
            <w:proofErr w:type="spellStart"/>
            <w:r w:rsidR="007808BF">
              <w:t>ATLis</w:t>
            </w:r>
            <w:proofErr w:type="spellEnd"/>
            <w:r w:rsidR="007808BF">
              <w:t xml:space="preserve"> </w:t>
            </w:r>
            <w:r>
              <w:t>every</w:t>
            </w:r>
            <w:r w:rsidR="007808BF">
              <w:t xml:space="preserve"> time the task described in this OSP is to be performed. The </w:t>
            </w:r>
            <w:proofErr w:type="spellStart"/>
            <w:r w:rsidR="007808BF">
              <w:t>AT</w:t>
            </w:r>
            <w:r>
              <w:t>L</w:t>
            </w:r>
            <w:r w:rsidR="007808BF">
              <w:t>is</w:t>
            </w:r>
            <w:proofErr w:type="spellEnd"/>
            <w:r w:rsidR="007808BF">
              <w:t xml:space="preserve"> will have this OSP as an attachment.</w:t>
            </w:r>
          </w:p>
          <w:p w:rsidR="007808BF" w:rsidRDefault="007808BF" w:rsidP="007808BF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t>Task Hazard Analysis Worksheet</w:t>
            </w:r>
            <w:r w:rsidR="00B441A9">
              <w:t>.</w:t>
            </w:r>
          </w:p>
          <w:p w:rsidR="007E33B6" w:rsidRDefault="007808BF" w:rsidP="007808BF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t xml:space="preserve">LERF Gun </w:t>
            </w:r>
            <w:r w:rsidR="00B441A9">
              <w:t>HVPS knife switch LT&amp;T.</w:t>
            </w:r>
            <w:r>
              <w:t xml:space="preserve"> </w:t>
            </w:r>
          </w:p>
          <w:p w:rsidR="00B441A9" w:rsidRDefault="00B441A9" w:rsidP="007808BF">
            <w:pPr>
              <w:pStyle w:val="ListParagraph"/>
              <w:numPr>
                <w:ilvl w:val="0"/>
                <w:numId w:val="23"/>
              </w:numPr>
              <w:contextualSpacing w:val="0"/>
              <w:jc w:val="left"/>
            </w:pPr>
            <w:r>
              <w:lastRenderedPageBreak/>
              <w:t>A copy of this OSP (after approval signoff) posted to the photocathode instrument chassis located in the injector pit area.</w:t>
            </w:r>
          </w:p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D74B8C" w:rsidP="004B56F0">
            <w:pPr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Operating G</w:t>
            </w:r>
            <w:r w:rsidR="007E33B6">
              <w:rPr>
                <w:b/>
                <w:sz w:val="20"/>
                <w:szCs w:val="20"/>
              </w:rPr>
              <w:t>uidelines</w:t>
            </w:r>
          </w:p>
        </w:tc>
      </w:tr>
      <w:tr w:rsidR="007E33B6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976EFD" w:rsidP="003328D2">
            <w:pPr>
              <w:ind w:left="720"/>
              <w:jc w:val="left"/>
            </w:pPr>
            <w:r>
              <w:t xml:space="preserve">The </w:t>
            </w:r>
            <w:r w:rsidR="00C22949">
              <w:t xml:space="preserve">Center for Injectors and Sources designee submits an </w:t>
            </w:r>
            <w:proofErr w:type="spellStart"/>
            <w:r w:rsidR="00C22949">
              <w:t>ATLis</w:t>
            </w:r>
            <w:proofErr w:type="spellEnd"/>
            <w:r w:rsidR="00C22949">
              <w:t xml:space="preserve"> including this OSP as an attachment. </w:t>
            </w:r>
          </w:p>
          <w:p w:rsidR="00C22949" w:rsidRDefault="00C22949" w:rsidP="003328D2">
            <w:pPr>
              <w:ind w:left="720"/>
              <w:jc w:val="left"/>
            </w:pPr>
            <w:r>
              <w:t xml:space="preserve">The person assigned with executing this OSP must be trained </w:t>
            </w:r>
            <w:r w:rsidR="00B441A9">
              <w:t xml:space="preserve">on this OSP </w:t>
            </w:r>
            <w:r>
              <w:t xml:space="preserve">and sign </w:t>
            </w:r>
            <w:r w:rsidR="00B441A9">
              <w:t>it</w:t>
            </w:r>
            <w:r>
              <w:t xml:space="preserve">. Carlos Hernandez-Garcia </w:t>
            </w:r>
            <w:r w:rsidR="00216CDD">
              <w:t>is responsible for training</w:t>
            </w:r>
            <w:r>
              <w:t xml:space="preserve"> personnel on this OSP. </w:t>
            </w:r>
          </w:p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25114D" w:rsidP="006E192C">
            <w:pPr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Notification</w:t>
            </w:r>
            <w:r w:rsidR="00D74B8C">
              <w:rPr>
                <w:b/>
                <w:sz w:val="20"/>
                <w:szCs w:val="20"/>
              </w:rPr>
              <w:t xml:space="preserve"> of Affected P</w:t>
            </w:r>
            <w:r w:rsidR="007E33B6">
              <w:rPr>
                <w:b/>
                <w:sz w:val="20"/>
                <w:szCs w:val="20"/>
              </w:rPr>
              <w:t>ersonnel (</w:t>
            </w:r>
            <w:r w:rsidR="006E192C">
              <w:rPr>
                <w:b/>
                <w:sz w:val="20"/>
                <w:szCs w:val="20"/>
              </w:rPr>
              <w:t>who, h</w:t>
            </w:r>
            <w:r w:rsidR="007E33B6">
              <w:rPr>
                <w:b/>
                <w:sz w:val="20"/>
                <w:szCs w:val="20"/>
              </w:rPr>
              <w:t>ow</w:t>
            </w:r>
            <w:r w:rsidR="006E192C">
              <w:rPr>
                <w:b/>
                <w:sz w:val="20"/>
                <w:szCs w:val="20"/>
              </w:rPr>
              <w:t>, and when</w:t>
            </w:r>
            <w:r w:rsidR="007E33B6">
              <w:rPr>
                <w:b/>
                <w:sz w:val="20"/>
                <w:szCs w:val="20"/>
              </w:rPr>
              <w:t>)</w:t>
            </w:r>
          </w:p>
        </w:tc>
      </w:tr>
      <w:tr w:rsidR="007E33B6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216CDD" w:rsidP="003328D2">
            <w:pPr>
              <w:ind w:left="720"/>
              <w:jc w:val="left"/>
            </w:pPr>
            <w:r>
              <w:t xml:space="preserve">This is achieved by submitting an </w:t>
            </w:r>
            <w:proofErr w:type="spellStart"/>
            <w:r>
              <w:t>ATLis</w:t>
            </w:r>
            <w:proofErr w:type="spellEnd"/>
            <w:r>
              <w:t xml:space="preserve"> as described above. </w:t>
            </w:r>
          </w:p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6144CA" w:rsidP="004B56F0">
            <w:pPr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</w:t>
            </w:r>
            <w:r w:rsidR="007E33B6">
              <w:rPr>
                <w:b/>
                <w:sz w:val="20"/>
                <w:szCs w:val="20"/>
              </w:rPr>
              <w:t xml:space="preserve"> </w:t>
            </w:r>
            <w:r w:rsidR="00D74B8C">
              <w:rPr>
                <w:b/>
                <w:sz w:val="20"/>
                <w:szCs w:val="20"/>
              </w:rPr>
              <w:t>Steps Required to Execute the Procedure</w:t>
            </w:r>
            <w:r w:rsidR="006E192C">
              <w:rPr>
                <w:b/>
                <w:sz w:val="20"/>
                <w:szCs w:val="20"/>
              </w:rPr>
              <w:t>:</w:t>
            </w:r>
            <w:r w:rsidR="007E33B6">
              <w:rPr>
                <w:b/>
                <w:sz w:val="20"/>
                <w:szCs w:val="20"/>
              </w:rPr>
              <w:t xml:space="preserve"> </w:t>
            </w:r>
            <w:r w:rsidR="007E33B6" w:rsidRPr="006E192C">
              <w:rPr>
                <w:sz w:val="20"/>
                <w:szCs w:val="20"/>
              </w:rPr>
              <w:t>from start to finish.</w:t>
            </w:r>
          </w:p>
        </w:tc>
      </w:tr>
      <w:tr w:rsidR="007E33B6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6257" w:rsidRPr="0022014F" w:rsidRDefault="00C16257" w:rsidP="00C16257">
            <w:pPr>
              <w:rPr>
                <w:b/>
                <w:sz w:val="28"/>
                <w:u w:val="single"/>
              </w:rPr>
            </w:pPr>
            <w:r w:rsidRPr="0022014F">
              <w:rPr>
                <w:b/>
                <w:sz w:val="28"/>
                <w:u w:val="single"/>
              </w:rPr>
              <w:t>Initial Conditions:</w:t>
            </w:r>
          </w:p>
          <w:p w:rsidR="00C16257" w:rsidRPr="0022014F" w:rsidRDefault="00C16257" w:rsidP="00B200C4">
            <w:pPr>
              <w:pStyle w:val="ListParagraph"/>
              <w:numPr>
                <w:ilvl w:val="0"/>
                <w:numId w:val="24"/>
              </w:numPr>
            </w:pPr>
            <w:r w:rsidRPr="0022014F">
              <w:t>Gun valve closed, VBV0F01</w:t>
            </w:r>
          </w:p>
          <w:p w:rsidR="00C16257" w:rsidRPr="0022014F" w:rsidRDefault="00C16257" w:rsidP="00B200C4">
            <w:pPr>
              <w:pStyle w:val="ListParagraph"/>
              <w:numPr>
                <w:ilvl w:val="0"/>
                <w:numId w:val="24"/>
              </w:numPr>
            </w:pPr>
            <w:r w:rsidRPr="0022014F">
              <w:t>Cathode position; inserted (for running beam)</w:t>
            </w:r>
          </w:p>
          <w:p w:rsidR="00C16257" w:rsidRPr="0022014F" w:rsidRDefault="00C16257" w:rsidP="00B200C4">
            <w:pPr>
              <w:pStyle w:val="ListParagraph"/>
              <w:numPr>
                <w:ilvl w:val="0"/>
                <w:numId w:val="24"/>
              </w:numPr>
            </w:pPr>
            <w:r w:rsidRPr="0022014F">
              <w:t>Light box scann</w:t>
            </w:r>
            <w:r w:rsidR="004349E4">
              <w:t>ing laser</w:t>
            </w:r>
            <w:r w:rsidRPr="0022014F">
              <w:t xml:space="preserve"> </w:t>
            </w:r>
            <w:r>
              <w:t>viewport</w:t>
            </w:r>
            <w:r w:rsidRPr="0022014F">
              <w:t xml:space="preserve"> covered with foil</w:t>
            </w:r>
          </w:p>
          <w:p w:rsidR="00C16257" w:rsidRPr="0022014F" w:rsidRDefault="004349E4" w:rsidP="00B200C4">
            <w:pPr>
              <w:pStyle w:val="ListParagraph"/>
              <w:numPr>
                <w:ilvl w:val="0"/>
                <w:numId w:val="24"/>
              </w:numPr>
            </w:pPr>
            <w:r>
              <w:t>532 nm</w:t>
            </w:r>
            <w:r w:rsidR="00C16257" w:rsidRPr="0022014F">
              <w:t xml:space="preserve"> </w:t>
            </w:r>
            <w:r>
              <w:t xml:space="preserve">5 </w:t>
            </w:r>
            <w:proofErr w:type="spellStart"/>
            <w:r>
              <w:t>mW</w:t>
            </w:r>
            <w:proofErr w:type="spellEnd"/>
            <w:r>
              <w:t xml:space="preserve"> (total, 10 micro-w attenuated) </w:t>
            </w:r>
            <w:r w:rsidR="00C16257" w:rsidRPr="0022014F">
              <w:t xml:space="preserve">scanning </w:t>
            </w:r>
            <w:r>
              <w:t>laser ON</w:t>
            </w:r>
          </w:p>
          <w:p w:rsidR="00C16257" w:rsidRDefault="00C16257" w:rsidP="00B200C4">
            <w:pPr>
              <w:pStyle w:val="ListParagraph"/>
              <w:numPr>
                <w:ilvl w:val="0"/>
                <w:numId w:val="24"/>
              </w:numPr>
            </w:pPr>
            <w:r w:rsidRPr="0022014F">
              <w:t xml:space="preserve">All 3 rods </w:t>
            </w:r>
            <w:r w:rsidR="004349E4">
              <w:t xml:space="preserve">on the top right of the gun aluminum </w:t>
            </w:r>
            <w:r w:rsidRPr="0022014F">
              <w:t>SF</w:t>
            </w:r>
            <w:r w:rsidRPr="004349E4">
              <w:rPr>
                <w:vertAlign w:val="subscript"/>
              </w:rPr>
              <w:t>6</w:t>
            </w:r>
            <w:r w:rsidR="004349E4">
              <w:rPr>
                <w:vertAlign w:val="subscript"/>
              </w:rPr>
              <w:t xml:space="preserve"> </w:t>
            </w:r>
            <w:r w:rsidR="004349E4">
              <w:t>tank</w:t>
            </w:r>
            <w:r w:rsidRPr="0022014F">
              <w:t xml:space="preserve"> fully retracted (out position)</w:t>
            </w:r>
            <w:r w:rsidR="00B200C4">
              <w:rPr>
                <w:noProof/>
              </w:rPr>
              <w:drawing>
                <wp:inline distT="0" distB="0" distL="0" distR="0">
                  <wp:extent cx="1686452" cy="2243927"/>
                  <wp:effectExtent l="0" t="0" r="317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nail_IMG_343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036" cy="226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08CC" w:rsidRPr="0022014F" w:rsidRDefault="007F08CC" w:rsidP="007F08CC"/>
          <w:p w:rsidR="007F08CC" w:rsidRPr="007F08CC" w:rsidRDefault="007F08CC" w:rsidP="007F08CC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="Times New Roman" w:hAnsi="Times New Roman"/>
              </w:rPr>
            </w:pPr>
            <w:r>
              <w:t xml:space="preserve">Gun </w:t>
            </w:r>
            <w:r w:rsidRPr="0022014F">
              <w:t xml:space="preserve">HVPS </w:t>
            </w:r>
            <w:r>
              <w:t>disconnect switch engaged with its VVU showing three lit green LED lights, one for each of the 3 phases.</w:t>
            </w:r>
            <w:r w:rsidRPr="0022014F">
              <w:t xml:space="preserve"> </w:t>
            </w:r>
          </w:p>
          <w:p w:rsidR="007E33B6" w:rsidRDefault="007F08CC" w:rsidP="007F08CC">
            <w:pPr>
              <w:ind w:left="360"/>
            </w:pPr>
            <w:r>
              <w:fldChar w:fldCharType="begin"/>
            </w:r>
            <w:r>
              <w:instrText xml:space="preserve"> INCLUDEPICTURE "/var/folders/fm/_ftztjt15b3f9nkgmh84_n0w0004gd/T/com.microsoft.Word/WebArchiveCopyPasteTempFiles/page5image32870112"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4FD8D0" wp14:editId="563D5B15">
                  <wp:extent cx="1521883" cy="1778311"/>
                  <wp:effectExtent l="0" t="0" r="2540" b="0"/>
                  <wp:docPr id="5" name="Picture 5" descr="page5image3287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5image32870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98" cy="178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200C4" w:rsidRDefault="00B200C4" w:rsidP="00B200C4">
            <w:r>
              <w:t>PROCEDURE</w:t>
            </w:r>
          </w:p>
          <w:p w:rsidR="00F23923" w:rsidRPr="00F23923" w:rsidRDefault="00F23923" w:rsidP="00B5729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Donn arc flash CAT 2 PPE and ask someone to be a witness standing at least 6 feet away</w:t>
            </w:r>
          </w:p>
          <w:p w:rsidR="00F23923" w:rsidRPr="00F23923" w:rsidRDefault="007F08CC" w:rsidP="00B5729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/>
              </w:rPr>
            </w:pPr>
            <w:r w:rsidRPr="00B57299">
              <w:rPr>
                <w:rFonts w:ascii="Cambria" w:hAnsi="Cambria"/>
              </w:rPr>
              <w:t>Pull down the</w:t>
            </w:r>
            <w:r w:rsidR="00B200C4" w:rsidRPr="00B57299">
              <w:rPr>
                <w:rFonts w:ascii="Cambria" w:hAnsi="Cambria"/>
              </w:rPr>
              <w:t xml:space="preserve"> HVPS </w:t>
            </w:r>
            <w:r w:rsidRPr="00B57299">
              <w:rPr>
                <w:rFonts w:ascii="Cambria" w:hAnsi="Cambria"/>
              </w:rPr>
              <w:t>disconnect switch</w:t>
            </w:r>
          </w:p>
          <w:p w:rsidR="00F23923" w:rsidRPr="00F23923" w:rsidRDefault="00F23923" w:rsidP="00B5729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Doff arc flash CAT 2 PPE</w:t>
            </w:r>
          </w:p>
          <w:p w:rsidR="00B57299" w:rsidRPr="00B57299" w:rsidRDefault="00F23923" w:rsidP="00B57299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>A</w:t>
            </w:r>
            <w:r w:rsidR="007F08CC" w:rsidRPr="00B57299">
              <w:rPr>
                <w:rFonts w:ascii="Cambria" w:hAnsi="Cambria"/>
              </w:rPr>
              <w:t xml:space="preserve">pply </w:t>
            </w:r>
            <w:r>
              <w:rPr>
                <w:rFonts w:ascii="Cambria" w:hAnsi="Cambria"/>
              </w:rPr>
              <w:t xml:space="preserve">personal </w:t>
            </w:r>
            <w:proofErr w:type="spellStart"/>
            <w:r w:rsidR="007F08CC" w:rsidRPr="00B57299">
              <w:rPr>
                <w:rFonts w:ascii="Cambria" w:hAnsi="Cambria"/>
              </w:rPr>
              <w:t>LT&amp;T</w:t>
            </w:r>
            <w:r>
              <w:rPr>
                <w:rFonts w:ascii="Cambria" w:hAnsi="Cambria"/>
              </w:rPr>
              <w:t xml:space="preserve">. </w:t>
            </w:r>
            <w:proofErr w:type="spellEnd"/>
            <w:r>
              <w:rPr>
                <w:rFonts w:ascii="Cambria" w:hAnsi="Cambria"/>
              </w:rPr>
              <w:t>E</w:t>
            </w:r>
            <w:r w:rsidR="00B200C4" w:rsidRPr="00B57299">
              <w:rPr>
                <w:rFonts w:ascii="Cambria" w:hAnsi="Cambria"/>
              </w:rPr>
              <w:t xml:space="preserve">ach person who may be </w:t>
            </w:r>
            <w:r w:rsidR="007F08CC" w:rsidRPr="00B57299">
              <w:rPr>
                <w:rFonts w:ascii="Cambria" w:hAnsi="Cambria"/>
              </w:rPr>
              <w:t>involved in executing this OSP</w:t>
            </w:r>
            <w:r>
              <w:rPr>
                <w:rFonts w:ascii="Cambria" w:hAnsi="Cambria"/>
              </w:rPr>
              <w:t xml:space="preserve"> must apply their personal lock</w:t>
            </w:r>
            <w:bookmarkStart w:id="0" w:name="_GoBack"/>
            <w:bookmarkEnd w:id="0"/>
            <w:r w:rsidR="00B200C4" w:rsidRPr="00B57299">
              <w:rPr>
                <w:rFonts w:ascii="Cambria" w:hAnsi="Cambria"/>
              </w:rPr>
              <w:t>.</w:t>
            </w:r>
            <w:r w:rsidR="00B57299" w:rsidRPr="00B57299">
              <w:rPr>
                <w:rFonts w:ascii="Cambria" w:hAnsi="Cambria"/>
              </w:rPr>
              <w:t xml:space="preserve"> </w:t>
            </w:r>
            <w:r w:rsidR="00B57299">
              <w:fldChar w:fldCharType="begin"/>
            </w:r>
            <w:r w:rsidR="00B57299">
              <w:instrText xml:space="preserve"> INCLUDEPICTURE "/var/folders/fm/_ftztjt15b3f9nkgmh84_n0w0004gd/T/com.microsoft.Word/WebArchiveCopyPasteTempFiles/page6image32664512" \* MERGEFORMATINET </w:instrText>
            </w:r>
            <w:r w:rsidR="00B57299">
              <w:fldChar w:fldCharType="separate"/>
            </w:r>
            <w:r w:rsidR="00B57299">
              <w:rPr>
                <w:noProof/>
              </w:rPr>
              <w:drawing>
                <wp:inline distT="0" distB="0" distL="0" distR="0">
                  <wp:extent cx="598319" cy="942449"/>
                  <wp:effectExtent l="0" t="0" r="0" b="0"/>
                  <wp:docPr id="12" name="Picture 12" descr="page6image3266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6image3266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31" cy="95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299">
              <w:fldChar w:fldCharType="end"/>
            </w:r>
          </w:p>
          <w:p w:rsidR="00B57299" w:rsidRPr="00B57299" w:rsidRDefault="00B57299" w:rsidP="00B57299">
            <w:pPr>
              <w:pStyle w:val="NormalWeb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  <w:r w:rsidRPr="00B57299">
              <w:rPr>
                <w:rFonts w:ascii="Cambria" w:hAnsi="Cambria"/>
              </w:rPr>
              <w:t xml:space="preserve">Insert the gun tank ground rod, this is the right most of the 3 rods. In all cases the Swage fitting should be loosened by hand before inserting/retracting then re- tightened. Be sure that there is a shorted BNC connector on the end of this rod as well as a ground strap. This rod has a blunt end and need only touch inner electrodes. Remove the shorting BNC plug and connect the “SCAN” cable. </w:t>
            </w:r>
          </w:p>
          <w:p w:rsidR="00B57299" w:rsidRPr="00B57299" w:rsidRDefault="00950D87" w:rsidP="00B57299">
            <w:pPr>
              <w:pStyle w:val="NormalWeb"/>
              <w:ind w:left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BD80C" wp14:editId="33DC0087">
                      <wp:simplePos x="0" y="0"/>
                      <wp:positionH relativeFrom="column">
                        <wp:posOffset>1675482</wp:posOffset>
                      </wp:positionH>
                      <wp:positionV relativeFrom="paragraph">
                        <wp:posOffset>1345918</wp:posOffset>
                      </wp:positionV>
                      <wp:extent cx="1695157" cy="288388"/>
                      <wp:effectExtent l="0" t="0" r="6985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157" cy="288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50D87" w:rsidRDefault="00950D87" w:rsidP="00950D87">
                                  <w:r>
                                    <w:t>Grounding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BD80C" id="Text Box 10" o:spid="_x0000_s1029" type="#_x0000_t202" style="position:absolute;left:0;text-align:left;margin-left:131.95pt;margin-top:106pt;width:133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" fillcolor="white [3201]" strokeweight=".5pt">
                      <v:textbox>
                        <w:txbxContent>
                          <w:p w:rsidR="00950D87" w:rsidRDefault="00950D87" w:rsidP="00950D87">
                            <w:r>
                              <w:t>G</w:t>
                            </w:r>
                            <w:r>
                              <w:t>round</w:t>
                            </w:r>
                            <w:r>
                              <w:t>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1303231</wp:posOffset>
                      </wp:positionH>
                      <wp:positionV relativeFrom="paragraph">
                        <wp:posOffset>1414780</wp:posOffset>
                      </wp:positionV>
                      <wp:extent cx="370248" cy="145855"/>
                      <wp:effectExtent l="50800" t="25400" r="0" b="70485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48" cy="14585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B3C4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4" o:spid="_x0000_s1026" type="#_x0000_t66" style="position:absolute;margin-left:102.6pt;margin-top:111.4pt;width:29.1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" adj="4255" fillcolor="#ffc000" strokecolor="#00b050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A3531" wp14:editId="38876DEC">
                      <wp:simplePos x="0" y="0"/>
                      <wp:positionH relativeFrom="column">
                        <wp:posOffset>1784421</wp:posOffset>
                      </wp:positionH>
                      <wp:positionV relativeFrom="paragraph">
                        <wp:posOffset>124460</wp:posOffset>
                      </wp:positionV>
                      <wp:extent cx="1694815" cy="288290"/>
                      <wp:effectExtent l="0" t="0" r="6985" b="165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48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57299" w:rsidRDefault="00B57299" w:rsidP="00B57299">
                                  <w:r>
                                    <w:t>BNC ground</w:t>
                                  </w:r>
                                  <w:r w:rsidR="00950D87">
                                    <w:t>ing rod</w:t>
                                  </w:r>
                                  <w:r>
                                    <w:t xml:space="preserve"> cap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3531" id="Text Box 16" o:spid="_x0000_s1030" type="#_x0000_t202" style="position:absolute;left:0;text-align:left;margin-left:140.5pt;margin-top:9.8pt;width:133.4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" fillcolor="white [3201]" strokeweight=".5pt">
                      <v:textbox>
                        <w:txbxContent>
                          <w:p w:rsidR="00B57299" w:rsidRDefault="00B57299" w:rsidP="00B57299">
                            <w:r>
                              <w:t>BNC ground</w:t>
                            </w:r>
                            <w:r w:rsidR="00950D87">
                              <w:t>in</w:t>
                            </w:r>
                            <w:bookmarkStart w:id="1" w:name="_GoBack"/>
                            <w:r w:rsidR="00950D87">
                              <w:t>g rod</w:t>
                            </w:r>
                            <w:r>
                              <w:t xml:space="preserve"> cap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299"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1305608</wp:posOffset>
                      </wp:positionH>
                      <wp:positionV relativeFrom="paragraph">
                        <wp:posOffset>237587</wp:posOffset>
                      </wp:positionV>
                      <wp:extent cx="482746" cy="45719"/>
                      <wp:effectExtent l="50800" t="63500" r="50800" b="8191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274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7B0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02.8pt;margin-top:18.7pt;width:3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" strokecolor="red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B57299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935174" cy="1451380"/>
                  <wp:effectExtent l="635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nail_IMG_343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52748" cy="146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Vacuum reported by VIP0F01 must approximately 5x10</w:t>
            </w:r>
            <w:r>
              <w:rPr>
                <w:rFonts w:ascii="Cambria" w:hAnsi="Cambria"/>
                <w:position w:val="6"/>
                <w:sz w:val="16"/>
                <w:szCs w:val="16"/>
              </w:rPr>
              <w:t>-11</w:t>
            </w:r>
            <w:r>
              <w:rPr>
                <w:rFonts w:ascii="Cambria" w:hAnsi="Cambria"/>
              </w:rPr>
              <w:t xml:space="preserve">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Open the Gun Valve, VBV0F01.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Remove the Foil from the lightbox viewport and do a QE Scan per the procedure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described at the end of this document, making a LERFLOG entry with the QE map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before continuing with the </w:t>
            </w:r>
            <w:proofErr w:type="spellStart"/>
            <w:r>
              <w:rPr>
                <w:rFonts w:ascii="Cambria" w:hAnsi="Cambria"/>
              </w:rPr>
              <w:t>Recesiation</w:t>
            </w:r>
            <w:proofErr w:type="spellEnd"/>
            <w:r>
              <w:rPr>
                <w:rFonts w:ascii="Cambria" w:hAnsi="Cambria"/>
              </w:rPr>
              <w:t xml:space="preserve">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Remove the “SCAN” cable, reconnect the shorting BNC plug, and insert the remaining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two rods.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Connect the “Motor Drive” Cable which is a BNC connection from the drive box.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Switch the drive box direction to the “Out” position and turn the box “ON”. Note the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time because it will take ~10 mins for the move to complete.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While the motor is moving connect the two banana plugs (red and black) from the DC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power supply mounted in the injector pit rack to the Cesium channels rod.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Connect the charge collector cable to the BNC connector just below the red/black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banana jacks of the same center rod and to the Aluminum mini-box next to chart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recorder (labeled GUN).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Make sure the power supply is set to 0V and turn on. Ramp up the voltage until the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current reads 3 amps for warming up the cesium channels. </w:t>
            </w:r>
          </w:p>
          <w:p w:rsidR="00B57299" w:rsidRDefault="00B57299" w:rsidP="00B57299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INCLUDEPICTURE "/var/folders/fm/_ftztjt15b3f9nkgmh84_n0w0004gd/T/com.microsoft.Word/WebArchiveCopyPasteTempFiles/page1image1924992"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58595" cy="2743200"/>
                  <wp:effectExtent l="0" t="0" r="1905" b="0"/>
                  <wp:docPr id="9" name="Picture 9" descr="page1image1924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924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"/var/folders/fm/_ftztjt15b3f9nkgmh84_n0w0004gd/T/com.microsoft.Word/WebArchiveCopyPasteTempFiles/page1image1924032"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902970" cy="2743200"/>
                  <wp:effectExtent l="0" t="0" r="0" b="0"/>
                  <wp:docPr id="8" name="Picture 8" descr="page1image192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92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Remove scanner turning mirror by loosening thumb screw on back side being VERY careful not to bump mirror. Set this assembly aside.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Turn on White light source to position 3 and align the output light to scanner window port on light box. This is the source for photo-emission during </w:t>
            </w:r>
            <w:proofErr w:type="spellStart"/>
            <w:r>
              <w:rPr>
                <w:rFonts w:ascii="Cambria" w:hAnsi="Cambria"/>
              </w:rPr>
              <w:t>cesiation</w:t>
            </w:r>
            <w:proofErr w:type="spellEnd"/>
            <w:r>
              <w:rPr>
                <w:rFonts w:ascii="Cambria" w:hAnsi="Cambria"/>
              </w:rPr>
              <w:t xml:space="preserve">. Place the light so that it is slightly clipping on the edge for maximizing the photocurrent.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Turn on </w:t>
            </w:r>
            <w:proofErr w:type="spellStart"/>
            <w:r>
              <w:rPr>
                <w:rFonts w:ascii="Cambria" w:hAnsi="Cambria"/>
              </w:rPr>
              <w:t>Keithly</w:t>
            </w:r>
            <w:proofErr w:type="spellEnd"/>
            <w:r>
              <w:rPr>
                <w:rFonts w:ascii="Cambria" w:hAnsi="Cambria"/>
              </w:rPr>
              <w:t xml:space="preserve"> electrometer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Click “Amps”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Click “Zero Check” to OFF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Click range up to read 0.00X </w:t>
            </w:r>
            <w:proofErr w:type="spellStart"/>
            <w:r>
              <w:rPr>
                <w:rFonts w:ascii="Cambria" w:hAnsi="Cambria"/>
              </w:rPr>
              <w:t>mircoamps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 “Battery Box” to position 3, </w:t>
            </w:r>
            <w:proofErr w:type="spellStart"/>
            <w:r>
              <w:rPr>
                <w:rFonts w:ascii="Cambria" w:hAnsi="Cambria"/>
              </w:rPr>
              <w:t>Kiethly</w:t>
            </w:r>
            <w:proofErr w:type="spellEnd"/>
            <w:r>
              <w:rPr>
                <w:rFonts w:ascii="Cambria" w:hAnsi="Cambria"/>
              </w:rPr>
              <w:t xml:space="preserve"> should read 0.5 to 1 microamp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Set chart recorder to: (also turn black pen around and engage with paper)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2”/min, Divide by 10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Volt full scale </w:t>
            </w:r>
          </w:p>
          <w:p w:rsidR="00B57299" w:rsidRDefault="00B57299" w:rsidP="00B57299">
            <w:pPr>
              <w:pStyle w:val="NormalWeb"/>
              <w:numPr>
                <w:ilvl w:val="1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Chart ON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While watching the </w:t>
            </w:r>
            <w:proofErr w:type="spellStart"/>
            <w:r>
              <w:rPr>
                <w:rFonts w:ascii="Cambria" w:hAnsi="Cambria"/>
              </w:rPr>
              <w:t>Keithly</w:t>
            </w:r>
            <w:proofErr w:type="spellEnd"/>
            <w:r>
              <w:rPr>
                <w:rFonts w:ascii="Cambria" w:hAnsi="Cambria"/>
              </w:rPr>
              <w:t xml:space="preserve"> and chart recorder, raise the CCPS current to 5 amps. The current will raise then begin to fall. SHUT OFF the CCPS when the drop is 20% of the maximum. Do this twice but the second time only 10%.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proofErr w:type="spellStart"/>
            <w:r>
              <w:rPr>
                <w:rFonts w:ascii="Cambria" w:hAnsi="Cambria"/>
              </w:rPr>
              <w:t>Keithly</w:t>
            </w:r>
            <w:proofErr w:type="spellEnd"/>
            <w:r>
              <w:rPr>
                <w:rFonts w:ascii="Cambria" w:hAnsi="Cambria"/>
              </w:rPr>
              <w:t xml:space="preserve"> and chart recorder will dip further down then increase and roll over to a stable reading. Once this happens the </w:t>
            </w:r>
            <w:proofErr w:type="spellStart"/>
            <w:r>
              <w:rPr>
                <w:rFonts w:ascii="Cambria" w:hAnsi="Cambria"/>
              </w:rPr>
              <w:t>Cesiation</w:t>
            </w:r>
            <w:proofErr w:type="spellEnd"/>
            <w:r>
              <w:rPr>
                <w:rFonts w:ascii="Cambria" w:hAnsi="Cambria"/>
              </w:rPr>
              <w:t xml:space="preserve"> is complete.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Connect the “Motor Drive” Cable which is a BNC connection from the drive box. Switch the drive box direction to the “IN” position and turn the box “ON”. Note the time because it will take ~10 mins for the move to complete.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Turn off “Battery Box”, </w:t>
            </w:r>
            <w:proofErr w:type="spellStart"/>
            <w:r>
              <w:rPr>
                <w:rFonts w:ascii="Cambria" w:hAnsi="Cambria"/>
              </w:rPr>
              <w:t>Keithly</w:t>
            </w:r>
            <w:proofErr w:type="spellEnd"/>
            <w:r>
              <w:rPr>
                <w:rFonts w:ascii="Cambria" w:hAnsi="Cambria"/>
              </w:rPr>
              <w:t xml:space="preserve">, and chart recorder (also cap and flip recorder pen)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Unplug charge collection cable &amp; CCPS banana plugs from center tank rod and retract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rod (loosen &amp; tighten Swage fitting).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Turn OFF white light source and remove from viewport.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Restore scanner turning mirror, while replacing it is fitted to the upper Aluminum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plate for alignment. Tighten thumb screw.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Once the cathode is fully in (motor drive will stop when the cathode reaches the limit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switch), disconnect that cable and shut off the drive box. Retract the motor rod fully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and tighten the fitting.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Perform a QE scan as described above and make a LERFLOG entry with the QE map.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Once QE scan is complete. Put the Foil back over the view port. Unplug scan cable. </w:t>
            </w:r>
          </w:p>
          <w:p w:rsidR="00B57299" w:rsidRDefault="00B57299" w:rsidP="00B57299">
            <w:pPr>
              <w:pStyle w:val="NormalWeb"/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Ensure all three rods are completely retracted and reconnect the shorting BNC plug. Remove personal lock from HVPS and turn the disconnect back on. Close the Gun Valve. </w:t>
            </w:r>
          </w:p>
          <w:p w:rsidR="00B57299" w:rsidRDefault="00B57299" w:rsidP="00B57299">
            <w:pPr>
              <w:pStyle w:val="NormalWeb"/>
              <w:numPr>
                <w:ilvl w:val="0"/>
                <w:numId w:val="2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procedure is complete. </w:t>
            </w:r>
          </w:p>
          <w:p w:rsidR="00B57299" w:rsidRDefault="00B57299" w:rsidP="00B200C4">
            <w:pPr>
              <w:pStyle w:val="NormalWeb"/>
              <w:numPr>
                <w:ilvl w:val="0"/>
                <w:numId w:val="26"/>
              </w:numPr>
              <w:rPr>
                <w:rFonts w:ascii="Cambria" w:hAnsi="Cambria"/>
                <w:sz w:val="24"/>
                <w:szCs w:val="24"/>
              </w:rPr>
            </w:pPr>
          </w:p>
          <w:p w:rsidR="00B200C4" w:rsidRDefault="00B200C4" w:rsidP="00B200C4"/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Default="00D74B8C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Back O</w:t>
            </w:r>
            <w:r w:rsidR="007E33B6">
              <w:rPr>
                <w:b/>
                <w:sz w:val="20"/>
                <w:szCs w:val="20"/>
              </w:rPr>
              <w:t xml:space="preserve">ut </w:t>
            </w:r>
            <w:r>
              <w:rPr>
                <w:b/>
                <w:sz w:val="20"/>
                <w:szCs w:val="20"/>
              </w:rPr>
              <w:t>P</w:t>
            </w:r>
            <w:r w:rsidR="007E33B6">
              <w:rPr>
                <w:b/>
                <w:sz w:val="20"/>
                <w:szCs w:val="20"/>
              </w:rPr>
              <w:t>rocedure</w:t>
            </w:r>
            <w:r w:rsidR="006E192C">
              <w:rPr>
                <w:b/>
                <w:sz w:val="20"/>
                <w:szCs w:val="20"/>
              </w:rPr>
              <w:t>(</w:t>
            </w:r>
            <w:r w:rsidR="007E33B6">
              <w:rPr>
                <w:b/>
                <w:sz w:val="20"/>
                <w:szCs w:val="20"/>
              </w:rPr>
              <w:t>s</w:t>
            </w:r>
            <w:r w:rsidR="006E192C">
              <w:rPr>
                <w:b/>
                <w:sz w:val="20"/>
                <w:szCs w:val="20"/>
              </w:rPr>
              <w:t>)</w:t>
            </w:r>
            <w:r w:rsidR="006E192C" w:rsidRPr="006E192C">
              <w:rPr>
                <w:sz w:val="20"/>
                <w:szCs w:val="20"/>
              </w:rPr>
              <w:t xml:space="preserve"> i.e</w:t>
            </w:r>
            <w:r w:rsidR="006E192C">
              <w:rPr>
                <w:sz w:val="20"/>
                <w:szCs w:val="20"/>
              </w:rPr>
              <w:t>.</w:t>
            </w:r>
            <w:r w:rsidR="007E33B6" w:rsidRPr="006E192C">
              <w:rPr>
                <w:sz w:val="20"/>
                <w:szCs w:val="20"/>
              </w:rPr>
              <w:t xml:space="preserve"> steps necessary to restore the equipment/area to a safe level.</w:t>
            </w:r>
          </w:p>
        </w:tc>
      </w:tr>
      <w:tr w:rsidR="007E33B6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33B6" w:rsidRDefault="007E33B6" w:rsidP="003328D2">
            <w:pPr>
              <w:ind w:left="720"/>
              <w:jc w:val="left"/>
            </w:pPr>
          </w:p>
        </w:tc>
      </w:tr>
      <w:tr w:rsidR="007E33B6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E33B6" w:rsidRPr="003328D2" w:rsidRDefault="007E33B6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 w:rsidRPr="003328D2">
              <w:rPr>
                <w:b/>
                <w:sz w:val="20"/>
                <w:szCs w:val="20"/>
              </w:rPr>
              <w:t>Special environmental control requirements:</w:t>
            </w:r>
          </w:p>
        </w:tc>
      </w:tr>
      <w:tr w:rsidR="004D2553" w:rsidTr="005F41CB">
        <w:trPr>
          <w:jc w:val="center"/>
        </w:trPr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4D2553" w:rsidRPr="00FD3467" w:rsidRDefault="004D2553" w:rsidP="006E19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2553" w:rsidRDefault="003328D2" w:rsidP="00B200C4">
            <w:pPr>
              <w:numPr>
                <w:ilvl w:val="1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Environmental impacts  </w:t>
            </w:r>
            <w:r w:rsidRPr="0062557B">
              <w:rPr>
                <w:sz w:val="20"/>
                <w:szCs w:val="20"/>
              </w:rPr>
              <w:t xml:space="preserve">(See </w:t>
            </w:r>
            <w:hyperlink r:id="rId21" w:history="1">
              <w:r w:rsidRPr="0062557B">
                <w:rPr>
                  <w:rStyle w:val="Hyperlink"/>
                  <w:sz w:val="20"/>
                  <w:szCs w:val="20"/>
                </w:rPr>
                <w:t xml:space="preserve">EMP-04 </w:t>
              </w:r>
              <w:r w:rsidRPr="0062557B">
                <w:rPr>
                  <w:rStyle w:val="Hyperlink"/>
                  <w:iCs/>
                  <w:sz w:val="20"/>
                  <w:szCs w:val="20"/>
                </w:rPr>
                <w:t>Project/Activity/Experiment Environmental Review</w:t>
              </w:r>
            </w:hyperlink>
            <w:r w:rsidRPr="0062557B">
              <w:rPr>
                <w:sz w:val="20"/>
                <w:szCs w:val="20"/>
              </w:rPr>
              <w:t>)</w:t>
            </w:r>
          </w:p>
        </w:tc>
      </w:tr>
      <w:tr w:rsidR="004D2553" w:rsidTr="003328D2">
        <w:trPr>
          <w:trHeight w:val="190"/>
          <w:jc w:val="center"/>
        </w:trPr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Pr="00FD3467" w:rsidRDefault="004D2553">
            <w:pPr>
              <w:ind w:left="720"/>
              <w:jc w:val="left"/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3328D2" w:rsidTr="005F41CB">
        <w:trPr>
          <w:jc w:val="center"/>
        </w:trPr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:rsidR="003328D2" w:rsidRPr="00FD3467" w:rsidRDefault="003328D2" w:rsidP="006E19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328D2" w:rsidRDefault="003328D2" w:rsidP="00B200C4">
            <w:pPr>
              <w:numPr>
                <w:ilvl w:val="1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Abatement steps  (</w:t>
            </w:r>
            <w:r w:rsidRPr="00FD3467">
              <w:rPr>
                <w:sz w:val="20"/>
                <w:szCs w:val="20"/>
              </w:rPr>
              <w:t>sec</w:t>
            </w:r>
            <w:r>
              <w:rPr>
                <w:sz w:val="20"/>
                <w:szCs w:val="20"/>
              </w:rPr>
              <w:t>ondary containment or special p</w:t>
            </w:r>
            <w:r w:rsidRPr="00FD3467">
              <w:rPr>
                <w:sz w:val="20"/>
                <w:szCs w:val="20"/>
              </w:rPr>
              <w:t>ackaging requirements</w:t>
            </w:r>
            <w:r>
              <w:rPr>
                <w:sz w:val="20"/>
                <w:szCs w:val="20"/>
              </w:rPr>
              <w:t>)</w:t>
            </w:r>
          </w:p>
        </w:tc>
      </w:tr>
      <w:tr w:rsidR="004D2553" w:rsidTr="003328D2">
        <w:trPr>
          <w:trHeight w:val="208"/>
          <w:jc w:val="center"/>
        </w:trPr>
        <w:tc>
          <w:tcPr>
            <w:tcW w:w="51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4D2553" w:rsidRPr="00FD3467" w:rsidRDefault="004D2553">
            <w:pPr>
              <w:ind w:left="720"/>
              <w:jc w:val="left"/>
            </w:pPr>
          </w:p>
        </w:tc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Default="004D2553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Unusual/Emergency Procedures </w:t>
            </w:r>
            <w:r w:rsidRPr="00D073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e.g., l</w:t>
            </w:r>
            <w:r w:rsidRPr="00D0739E">
              <w:rPr>
                <w:sz w:val="20"/>
                <w:szCs w:val="20"/>
              </w:rPr>
              <w:t>oss of power</w:t>
            </w:r>
            <w:r>
              <w:rPr>
                <w:sz w:val="20"/>
                <w:szCs w:val="20"/>
              </w:rPr>
              <w:t>, spills, f</w:t>
            </w:r>
            <w:r w:rsidRPr="00D0739E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>e, etc.</w:t>
            </w:r>
            <w:r w:rsidRPr="00D0739E">
              <w:rPr>
                <w:sz w:val="20"/>
                <w:szCs w:val="20"/>
              </w:rPr>
              <w:t>)</w:t>
            </w:r>
          </w:p>
        </w:tc>
      </w:tr>
      <w:tr w:rsidR="004D2553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Default="004D2553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Instrument Calibration Requirements </w:t>
            </w:r>
            <w:r w:rsidRPr="00D0739E">
              <w:rPr>
                <w:sz w:val="20"/>
                <w:szCs w:val="20"/>
              </w:rPr>
              <w:t>(e.g., safety system/device recertification, RF probe calibration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4D2553" w:rsidTr="003328D2">
        <w:trPr>
          <w:trHeight w:val="217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Default="004D2553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Inspection Schedules</w:t>
            </w:r>
          </w:p>
        </w:tc>
      </w:tr>
      <w:tr w:rsidR="004D2553" w:rsidTr="003328D2">
        <w:trPr>
          <w:trHeight w:val="289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Default="004D2553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References/Associated Documentation</w:t>
            </w:r>
          </w:p>
        </w:tc>
      </w:tr>
      <w:tr w:rsidR="004D2553" w:rsidTr="003328D2">
        <w:trPr>
          <w:trHeight w:val="29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553" w:rsidRDefault="004D2553" w:rsidP="003328D2">
            <w:pPr>
              <w:ind w:left="720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2553" w:rsidRDefault="004D2553" w:rsidP="00B200C4">
            <w:pPr>
              <w:numPr>
                <w:ilvl w:val="0"/>
                <w:numId w:val="2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of Records Generated</w:t>
            </w:r>
            <w:r w:rsidRPr="007A2EDA">
              <w:rPr>
                <w:sz w:val="20"/>
                <w:szCs w:val="20"/>
              </w:rPr>
              <w:t xml:space="preserve"> (Include Location / Review and Approved procedure) </w:t>
            </w:r>
          </w:p>
        </w:tc>
      </w:tr>
      <w:tr w:rsidR="004D2553" w:rsidTr="003328D2">
        <w:trPr>
          <w:trHeight w:val="208"/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2553" w:rsidRDefault="004D2553" w:rsidP="003328D2">
            <w:pPr>
              <w:ind w:left="713"/>
              <w:jc w:val="left"/>
            </w:pPr>
          </w:p>
        </w:tc>
      </w:tr>
      <w:tr w:rsidR="004D2553" w:rsidTr="005F41CB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553" w:rsidRDefault="004D2553">
            <w:pPr>
              <w:ind w:left="713"/>
              <w:jc w:val="left"/>
              <w:rPr>
                <w:sz w:val="8"/>
              </w:rPr>
            </w:pPr>
          </w:p>
        </w:tc>
      </w:tr>
    </w:tbl>
    <w:p w:rsidR="00A271AB" w:rsidRDefault="00A271AB" w:rsidP="00A271AB">
      <w:pPr>
        <w:jc w:val="center"/>
      </w:pPr>
    </w:p>
    <w:p w:rsidR="00EF1099" w:rsidRDefault="00A84221" w:rsidP="00A271AB">
      <w:pPr>
        <w:jc w:val="center"/>
      </w:pPr>
      <w:r>
        <w:rPr>
          <w:noProof/>
        </w:rPr>
        <w:drawing>
          <wp:inline distT="0" distB="0" distL="0" distR="0">
            <wp:extent cx="2179955" cy="643255"/>
            <wp:effectExtent l="0" t="0" r="4445" b="0"/>
            <wp:docPr id="34" name="Picture 3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099" w:rsidRDefault="00B906B6">
      <w:pPr>
        <w:pStyle w:val="Default"/>
        <w:rPr>
          <w:rStyle w:val="SC2443"/>
        </w:rPr>
      </w:pPr>
      <w:r>
        <w:rPr>
          <w:rStyle w:val="SC2443"/>
          <w:b/>
          <w:bCs/>
        </w:rPr>
        <w:t xml:space="preserve">Distribution: </w:t>
      </w:r>
      <w:r>
        <w:rPr>
          <w:rStyle w:val="SC2443"/>
        </w:rPr>
        <w:t>Copies to: affected area, authors, Division Safety Officer</w:t>
      </w:r>
    </w:p>
    <w:p w:rsidR="001F3719" w:rsidRPr="001F3719" w:rsidRDefault="001F3719">
      <w:pPr>
        <w:pStyle w:val="Default"/>
      </w:pPr>
      <w:r>
        <w:rPr>
          <w:rStyle w:val="SC2443"/>
          <w:b/>
        </w:rPr>
        <w:lastRenderedPageBreak/>
        <w:t>Expiration:</w:t>
      </w:r>
      <w:r>
        <w:rPr>
          <w:rStyle w:val="SC2443"/>
        </w:rPr>
        <w:t xml:space="preserve">  Forward to ESH&amp;Q Document Control</w:t>
      </w:r>
    </w:p>
    <w:p w:rsidR="00016301" w:rsidRDefault="00016301">
      <w:pPr>
        <w:pStyle w:val="Default"/>
      </w:pPr>
    </w:p>
    <w:tbl>
      <w:tblPr>
        <w:tblW w:w="1116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16301" w:rsidTr="009032C5">
        <w:trPr>
          <w:jc w:val="center"/>
        </w:trPr>
        <w:tc>
          <w:tcPr>
            <w:tcW w:w="10656" w:type="dxa"/>
          </w:tcPr>
          <w:p w:rsidR="00016301" w:rsidRPr="00CF31ED" w:rsidRDefault="00016301" w:rsidP="00CF31ED">
            <w:pPr>
              <w:jc w:val="center"/>
              <w:rPr>
                <w:sz w:val="20"/>
                <w:szCs w:val="20"/>
              </w:rPr>
            </w:pPr>
            <w:r w:rsidRPr="00CF31ED">
              <w:rPr>
                <w:b/>
                <w:sz w:val="20"/>
                <w:szCs w:val="20"/>
              </w:rPr>
              <w:t>Form Revision Summary</w:t>
            </w:r>
          </w:p>
          <w:p w:rsidR="006E48C3" w:rsidRPr="006E48C3" w:rsidRDefault="006E48C3" w:rsidP="00CF31ED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Qualifying Periodic Review – 02/19/14 – </w:t>
            </w:r>
            <w:r>
              <w:rPr>
                <w:sz w:val="20"/>
                <w:szCs w:val="20"/>
              </w:rPr>
              <w:t>No substantive changes required.</w:t>
            </w:r>
          </w:p>
          <w:p w:rsidR="00BA3105" w:rsidRPr="00BD5E6B" w:rsidRDefault="00BA3105" w:rsidP="00CF31ED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1.3 – 11/2</w:t>
            </w:r>
            <w:r w:rsidR="008A56C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/13 </w:t>
            </w:r>
            <w:r w:rsidR="00BD5E6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5E6B">
              <w:rPr>
                <w:sz w:val="20"/>
                <w:szCs w:val="20"/>
              </w:rPr>
              <w:t>Added “Owning Organization” to more accurately reflect laboratory operations.</w:t>
            </w:r>
          </w:p>
          <w:p w:rsidR="00B906B6" w:rsidRPr="00B906B6" w:rsidRDefault="00B906B6" w:rsidP="00CF31ED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1.2 </w:t>
            </w:r>
            <w:r w:rsidR="003B0BD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B0BD3">
              <w:rPr>
                <w:b/>
                <w:sz w:val="20"/>
                <w:szCs w:val="20"/>
              </w:rPr>
              <w:t>09/15/</w:t>
            </w:r>
            <w:r>
              <w:rPr>
                <w:b/>
                <w:sz w:val="20"/>
                <w:szCs w:val="20"/>
              </w:rPr>
              <w:t xml:space="preserve">12 – </w:t>
            </w:r>
            <w:r>
              <w:rPr>
                <w:sz w:val="20"/>
                <w:szCs w:val="20"/>
              </w:rPr>
              <w:t xml:space="preserve">Update form to conform to </w:t>
            </w:r>
            <w:r w:rsidR="00C716F9">
              <w:rPr>
                <w:sz w:val="20"/>
                <w:szCs w:val="20"/>
              </w:rPr>
              <w:t>electronic review.</w:t>
            </w:r>
          </w:p>
          <w:p w:rsidR="0099729D" w:rsidRPr="0099729D" w:rsidRDefault="0099729D" w:rsidP="00CF31ED">
            <w:pPr>
              <w:ind w:left="3600" w:hanging="28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Revision 1.1 – 04/03/12 – </w:t>
            </w:r>
            <w:r>
              <w:rPr>
                <w:sz w:val="20"/>
                <w:szCs w:val="20"/>
              </w:rPr>
              <w:t xml:space="preserve">Risk Code 0 switched to N to be consistent with </w:t>
            </w:r>
            <w:hyperlink r:id="rId24" w:history="1">
              <w:r w:rsidRPr="0099729D">
                <w:rPr>
                  <w:rStyle w:val="Hyperlink"/>
                  <w:sz w:val="20"/>
                  <w:szCs w:val="20"/>
                </w:rPr>
                <w:t>3210 T3 Risk Code Assignment</w:t>
              </w:r>
            </w:hyperlink>
            <w:r>
              <w:rPr>
                <w:sz w:val="20"/>
                <w:szCs w:val="20"/>
              </w:rPr>
              <w:t>.</w:t>
            </w:r>
          </w:p>
          <w:p w:rsidR="00016301" w:rsidRPr="00CF31ED" w:rsidRDefault="00016301" w:rsidP="00CF31ED">
            <w:pPr>
              <w:ind w:left="3600" w:hanging="2880"/>
              <w:rPr>
                <w:sz w:val="20"/>
                <w:szCs w:val="20"/>
              </w:rPr>
            </w:pPr>
            <w:r w:rsidRPr="00CF31ED">
              <w:rPr>
                <w:b/>
                <w:sz w:val="20"/>
                <w:szCs w:val="20"/>
              </w:rPr>
              <w:t>Revision 1</w:t>
            </w:r>
            <w:r w:rsidR="00626318">
              <w:rPr>
                <w:b/>
                <w:sz w:val="20"/>
                <w:szCs w:val="20"/>
              </w:rPr>
              <w:t>.0</w:t>
            </w:r>
            <w:r w:rsidRPr="00CF31ED">
              <w:rPr>
                <w:b/>
                <w:sz w:val="20"/>
                <w:szCs w:val="20"/>
              </w:rPr>
              <w:t xml:space="preserve"> – 12/01/11 </w:t>
            </w:r>
            <w:r w:rsidR="00626318" w:rsidRPr="00CF31ED">
              <w:rPr>
                <w:b/>
                <w:sz w:val="20"/>
                <w:szCs w:val="20"/>
              </w:rPr>
              <w:t>–</w:t>
            </w:r>
            <w:r w:rsidRPr="00CF31ED">
              <w:rPr>
                <w:b/>
                <w:sz w:val="20"/>
                <w:szCs w:val="20"/>
              </w:rPr>
              <w:t xml:space="preserve"> </w:t>
            </w:r>
            <w:r w:rsidRPr="00CF31ED">
              <w:rPr>
                <w:sz w:val="20"/>
                <w:szCs w:val="20"/>
              </w:rPr>
              <w:t xml:space="preserve">Added </w:t>
            </w:r>
            <w:r w:rsidR="00177FED" w:rsidRPr="00CF31ED">
              <w:rPr>
                <w:sz w:val="20"/>
                <w:szCs w:val="20"/>
              </w:rPr>
              <w:t xml:space="preserve">reasoning for OSP to aid in appropriate review </w:t>
            </w:r>
            <w:r w:rsidRPr="00CF31ED">
              <w:rPr>
                <w:sz w:val="20"/>
                <w:szCs w:val="20"/>
              </w:rPr>
              <w:t>determination.</w:t>
            </w:r>
          </w:p>
          <w:p w:rsidR="00016301" w:rsidRPr="00CF31ED" w:rsidRDefault="00016301" w:rsidP="00CF31ED">
            <w:pPr>
              <w:ind w:left="3600" w:hanging="2880"/>
              <w:rPr>
                <w:sz w:val="20"/>
                <w:szCs w:val="20"/>
              </w:rPr>
            </w:pPr>
            <w:r w:rsidRPr="00CF31ED">
              <w:rPr>
                <w:b/>
                <w:sz w:val="20"/>
                <w:szCs w:val="20"/>
              </w:rPr>
              <w:t>Revision 0</w:t>
            </w:r>
            <w:r w:rsidR="00626318">
              <w:rPr>
                <w:b/>
                <w:sz w:val="20"/>
                <w:szCs w:val="20"/>
              </w:rPr>
              <w:t xml:space="preserve">   </w:t>
            </w:r>
            <w:r w:rsidRPr="00CF31ED">
              <w:rPr>
                <w:b/>
                <w:sz w:val="20"/>
                <w:szCs w:val="20"/>
              </w:rPr>
              <w:t xml:space="preserve"> </w:t>
            </w:r>
            <w:r w:rsidR="00626318" w:rsidRPr="00CF31ED">
              <w:rPr>
                <w:b/>
                <w:sz w:val="20"/>
                <w:szCs w:val="20"/>
              </w:rPr>
              <w:t>–</w:t>
            </w:r>
            <w:r w:rsidRPr="00CF31ED">
              <w:rPr>
                <w:b/>
                <w:sz w:val="20"/>
                <w:szCs w:val="20"/>
              </w:rPr>
              <w:t xml:space="preserve"> 10/05/09 – </w:t>
            </w:r>
            <w:r w:rsidRPr="00CF31ED">
              <w:rPr>
                <w:sz w:val="20"/>
                <w:szCs w:val="20"/>
              </w:rPr>
              <w:t>Updated to reflect current laboratory operations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049"/>
              <w:gridCol w:w="3240"/>
              <w:gridCol w:w="1440"/>
              <w:gridCol w:w="2160"/>
              <w:gridCol w:w="788"/>
            </w:tblGrid>
            <w:tr w:rsidR="008C08A2" w:rsidRPr="0035766B" w:rsidTr="008C08A2">
              <w:trPr>
                <w:trHeight w:val="20"/>
                <w:jc w:val="center"/>
              </w:trPr>
              <w:tc>
                <w:tcPr>
                  <w:tcW w:w="2049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08A2" w:rsidRDefault="008C08A2" w:rsidP="00016301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ISSUING AUTHORITY</w:t>
                  </w:r>
                </w:p>
              </w:tc>
              <w:tc>
                <w:tcPr>
                  <w:tcW w:w="324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08A2" w:rsidRDefault="008C08A2" w:rsidP="008C08A2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FORM TECHNICAL POINT-OF-CONTACT</w:t>
                  </w:r>
                </w:p>
              </w:tc>
              <w:tc>
                <w:tcPr>
                  <w:tcW w:w="144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08A2" w:rsidRDefault="008C08A2" w:rsidP="00016301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APPROVAL DATE</w:t>
                  </w:r>
                </w:p>
              </w:tc>
              <w:tc>
                <w:tcPr>
                  <w:tcW w:w="2160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08A2" w:rsidRDefault="008C08A2" w:rsidP="006E48C3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REVIEW DATE</w:t>
                  </w:r>
                </w:p>
              </w:tc>
              <w:tc>
                <w:tcPr>
                  <w:tcW w:w="788" w:type="dxa"/>
                  <w:tcBorders>
                    <w:top w:val="doub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08A2" w:rsidRDefault="008C08A2" w:rsidP="00016301">
                  <w:pPr>
                    <w:pStyle w:val="Header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REV.</w:t>
                  </w:r>
                </w:p>
              </w:tc>
            </w:tr>
            <w:tr w:rsidR="008C08A2" w:rsidRPr="0035766B" w:rsidTr="008C08A2">
              <w:trPr>
                <w:trHeight w:val="20"/>
                <w:jc w:val="center"/>
              </w:trPr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A2" w:rsidRDefault="008C08A2" w:rsidP="00016301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ESH&amp;Q Division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A2" w:rsidRDefault="0071503E" w:rsidP="00016301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hyperlink r:id="rId25" w:history="1">
                    <w:r w:rsidR="008C08A2">
                      <w:rPr>
                        <w:rStyle w:val="Hyperlink"/>
                        <w:sz w:val="14"/>
                        <w:szCs w:val="20"/>
                      </w:rPr>
                      <w:t>Harry Fanning</w:t>
                    </w:r>
                  </w:hyperlink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A2" w:rsidRDefault="006E48C3" w:rsidP="00016301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02/19/14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A2" w:rsidRDefault="006E48C3" w:rsidP="00016301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02/19/17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8A2" w:rsidRDefault="00BA3105" w:rsidP="00016301">
                  <w:pPr>
                    <w:pStyle w:val="Header"/>
                    <w:jc w:val="center"/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1.3</w:t>
                  </w:r>
                </w:p>
              </w:tc>
            </w:tr>
          </w:tbl>
          <w:p w:rsidR="00016301" w:rsidRPr="00CF31ED" w:rsidRDefault="00016301" w:rsidP="00CF31ED">
            <w:pPr>
              <w:pStyle w:val="Footer"/>
              <w:tabs>
                <w:tab w:val="clear" w:pos="8640"/>
                <w:tab w:val="right" w:pos="9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  </w: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begin"/>
            </w: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instrText xml:space="preserve"> DATE \@ "M/d/yyyy" </w:instrText>
            </w: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separate"/>
            </w:r>
            <w:r w:rsidR="00F23923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9/28/2020</w:t>
            </w: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fldChar w:fldCharType="end"/>
            </w:r>
            <w:r w:rsidRPr="00CF31ED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</w:tbl>
    <w:p w:rsidR="001F3719" w:rsidRDefault="001F3719" w:rsidP="00CF76DD"/>
    <w:sectPr w:rsidR="001F3719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360" w:right="720" w:bottom="36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3E" w:rsidRDefault="0071503E">
      <w:r>
        <w:separator/>
      </w:r>
    </w:p>
  </w:endnote>
  <w:endnote w:type="continuationSeparator" w:id="0">
    <w:p w:rsidR="0071503E" w:rsidRDefault="007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AC" w:rsidRPr="008C1EAD" w:rsidRDefault="00DF1CAC" w:rsidP="004674A7">
    <w:pPr>
      <w:rPr>
        <w:sz w:val="8"/>
        <w:szCs w:val="8"/>
      </w:rPr>
    </w:pPr>
  </w:p>
  <w:tbl>
    <w:tblPr>
      <w:tblW w:w="10728" w:type="dxa"/>
      <w:tblLook w:val="04A0" w:firstRow="1" w:lastRow="0" w:firstColumn="1" w:lastColumn="0" w:noHBand="0" w:noVBand="1"/>
    </w:tblPr>
    <w:tblGrid>
      <w:gridCol w:w="9738"/>
      <w:gridCol w:w="990"/>
    </w:tblGrid>
    <w:tr w:rsidR="00DF1CAC" w:rsidRPr="00425654" w:rsidTr="00BD5E6B">
      <w:tc>
        <w:tcPr>
          <w:tcW w:w="9738" w:type="dxa"/>
        </w:tcPr>
        <w:p w:rsidR="00DF1CAC" w:rsidRPr="0005634E" w:rsidRDefault="00DF1CAC" w:rsidP="004674A7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sz w:val="14"/>
              <w:szCs w:val="16"/>
            </w:rPr>
            <w:t xml:space="preserve">For questions or comments regarding this form contact the Technical Point-of-Contact </w:t>
          </w:r>
          <w:hyperlink r:id="rId1" w:history="1">
            <w:r w:rsidRPr="0005634E">
              <w:rPr>
                <w:rStyle w:val="Hyperlink"/>
                <w:rFonts w:ascii="Times New Roman" w:hAnsi="Times New Roman"/>
                <w:b/>
                <w:sz w:val="14"/>
                <w:szCs w:val="16"/>
              </w:rPr>
              <w:t>Harry Fanning</w:t>
            </w:r>
          </w:hyperlink>
        </w:p>
        <w:p w:rsidR="00DF1CAC" w:rsidRPr="0005634E" w:rsidRDefault="00DF1CAC" w:rsidP="004674A7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begin"/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instrText xml:space="preserve"> DATE \@ "M/d/yyyy" </w:instrTex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separate"/>
          </w:r>
          <w:r w:rsidR="00F23923">
            <w:rPr>
              <w:rFonts w:ascii="Times New Roman" w:hAnsi="Times New Roman"/>
              <w:b/>
              <w:i/>
              <w:noProof/>
              <w:sz w:val="14"/>
              <w:szCs w:val="16"/>
            </w:rPr>
            <w:t>9/28/2020</w: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end"/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t>.</w:t>
          </w:r>
        </w:p>
      </w:tc>
      <w:tc>
        <w:tcPr>
          <w:tcW w:w="990" w:type="dxa"/>
        </w:tcPr>
        <w:p w:rsidR="00DF1CAC" w:rsidRPr="0005634E" w:rsidRDefault="00DF1CAC" w:rsidP="004674A7">
          <w:pPr>
            <w:pStyle w:val="Header"/>
            <w:jc w:val="center"/>
            <w:rPr>
              <w:b/>
              <w:sz w:val="14"/>
              <w:szCs w:val="14"/>
            </w:rPr>
          </w:pPr>
          <w:r w:rsidRPr="0005634E">
            <w:rPr>
              <w:b/>
              <w:sz w:val="14"/>
              <w:szCs w:val="14"/>
            </w:rPr>
            <w:t xml:space="preserve">Page </w:t>
          </w:r>
        </w:p>
        <w:p w:rsidR="00DF1CAC" w:rsidRPr="0005634E" w:rsidRDefault="00DF1CAC" w:rsidP="004674A7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begin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instrText xml:space="preserve"> PAGE </w:instrTex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separate"/>
          </w:r>
          <w:r w:rsidR="00A84221">
            <w:rPr>
              <w:rFonts w:ascii="Times New Roman" w:hAnsi="Times New Roman"/>
              <w:b/>
              <w:noProof/>
              <w:sz w:val="14"/>
              <w:szCs w:val="14"/>
            </w:rPr>
            <w:t>2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end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t xml:space="preserve"> of 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begin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instrText xml:space="preserve"> NUMPAGES </w:instrTex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separate"/>
          </w:r>
          <w:r w:rsidR="00A84221">
            <w:rPr>
              <w:rFonts w:ascii="Times New Roman" w:hAnsi="Times New Roman"/>
              <w:b/>
              <w:noProof/>
              <w:sz w:val="14"/>
              <w:szCs w:val="14"/>
            </w:rPr>
            <w:t>3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end"/>
          </w:r>
        </w:p>
      </w:tc>
    </w:tr>
  </w:tbl>
  <w:p w:rsidR="00DF1CAC" w:rsidRPr="0017177D" w:rsidRDefault="00DF1CAC" w:rsidP="004674A7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AC" w:rsidRPr="008C1EAD" w:rsidRDefault="00DF1CAC" w:rsidP="004674A7">
    <w:pPr>
      <w:rPr>
        <w:sz w:val="8"/>
        <w:szCs w:val="8"/>
      </w:rPr>
    </w:pPr>
  </w:p>
  <w:tbl>
    <w:tblPr>
      <w:tblW w:w="10728" w:type="dxa"/>
      <w:tblLook w:val="04A0" w:firstRow="1" w:lastRow="0" w:firstColumn="1" w:lastColumn="0" w:noHBand="0" w:noVBand="1"/>
    </w:tblPr>
    <w:tblGrid>
      <w:gridCol w:w="9738"/>
      <w:gridCol w:w="990"/>
    </w:tblGrid>
    <w:tr w:rsidR="00DF1CAC" w:rsidRPr="00425654" w:rsidTr="00BD5E6B">
      <w:tc>
        <w:tcPr>
          <w:tcW w:w="9738" w:type="dxa"/>
        </w:tcPr>
        <w:p w:rsidR="00DF1CAC" w:rsidRPr="0005634E" w:rsidRDefault="00DF1CAC" w:rsidP="00BD5E6B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sz w:val="14"/>
              <w:szCs w:val="16"/>
            </w:rPr>
            <w:t xml:space="preserve">For questions or comments regarding this form contact the Technical Point-of-Contact </w:t>
          </w:r>
          <w:hyperlink r:id="rId1" w:history="1">
            <w:r w:rsidRPr="0005634E">
              <w:rPr>
                <w:rStyle w:val="Hyperlink"/>
                <w:rFonts w:ascii="Times New Roman" w:hAnsi="Times New Roman"/>
                <w:b/>
                <w:sz w:val="14"/>
                <w:szCs w:val="16"/>
              </w:rPr>
              <w:t>Harry Fanning</w:t>
            </w:r>
          </w:hyperlink>
        </w:p>
        <w:p w:rsidR="00DF1CAC" w:rsidRPr="0005634E" w:rsidRDefault="00DF1CAC" w:rsidP="00BD5E6B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t xml:space="preserve">This document is controlled as an on line file.  It may be printed but the print copy is not a controlled document.  It is the user’s responsibility to ensure that the document is the same revision as the current on line file.  This copy was printed on </w: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begin"/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instrText xml:space="preserve"> DATE \@ "M/d/yyyy" </w:instrTex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separate"/>
          </w:r>
          <w:r w:rsidR="00F23923">
            <w:rPr>
              <w:rFonts w:ascii="Times New Roman" w:hAnsi="Times New Roman"/>
              <w:b/>
              <w:i/>
              <w:noProof/>
              <w:sz w:val="14"/>
              <w:szCs w:val="16"/>
            </w:rPr>
            <w:t>9/28/2020</w:t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fldChar w:fldCharType="end"/>
          </w:r>
          <w:r w:rsidRPr="0005634E">
            <w:rPr>
              <w:rFonts w:ascii="Times New Roman" w:hAnsi="Times New Roman"/>
              <w:b/>
              <w:i/>
              <w:sz w:val="14"/>
              <w:szCs w:val="16"/>
            </w:rPr>
            <w:t>.</w:t>
          </w:r>
        </w:p>
      </w:tc>
      <w:tc>
        <w:tcPr>
          <w:tcW w:w="990" w:type="dxa"/>
        </w:tcPr>
        <w:p w:rsidR="00DF1CAC" w:rsidRPr="0005634E" w:rsidRDefault="00DF1CAC" w:rsidP="00BD5E6B">
          <w:pPr>
            <w:pStyle w:val="Header"/>
            <w:jc w:val="center"/>
            <w:rPr>
              <w:b/>
              <w:sz w:val="14"/>
              <w:szCs w:val="14"/>
            </w:rPr>
          </w:pPr>
          <w:r w:rsidRPr="0005634E">
            <w:rPr>
              <w:b/>
              <w:sz w:val="14"/>
              <w:szCs w:val="14"/>
            </w:rPr>
            <w:t xml:space="preserve">Page </w:t>
          </w:r>
        </w:p>
        <w:p w:rsidR="00DF1CAC" w:rsidRPr="0005634E" w:rsidRDefault="00DF1CAC" w:rsidP="00BD5E6B">
          <w:pPr>
            <w:pStyle w:val="Footer"/>
            <w:tabs>
              <w:tab w:val="clear" w:pos="8640"/>
              <w:tab w:val="right" w:pos="9720"/>
            </w:tabs>
            <w:jc w:val="center"/>
            <w:rPr>
              <w:rFonts w:ascii="Times New Roman" w:hAnsi="Times New Roman"/>
              <w:b/>
              <w:i/>
              <w:sz w:val="14"/>
              <w:szCs w:val="16"/>
            </w:rPr>
          </w:pP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begin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instrText xml:space="preserve"> PAGE </w:instrTex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separate"/>
          </w:r>
          <w:r w:rsidR="00A84221">
            <w:rPr>
              <w:rFonts w:ascii="Times New Roman" w:hAnsi="Times New Roman"/>
              <w:b/>
              <w:noProof/>
              <w:sz w:val="14"/>
              <w:szCs w:val="14"/>
            </w:rPr>
            <w:t>1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end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t xml:space="preserve"> of 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begin"/>
          </w:r>
          <w:r w:rsidRPr="0005634E">
            <w:rPr>
              <w:rFonts w:ascii="Times New Roman" w:hAnsi="Times New Roman"/>
              <w:b/>
              <w:sz w:val="14"/>
              <w:szCs w:val="14"/>
            </w:rPr>
            <w:instrText xml:space="preserve"> NUMPAGES </w:instrTex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separate"/>
          </w:r>
          <w:r w:rsidR="00A84221">
            <w:rPr>
              <w:rFonts w:ascii="Times New Roman" w:hAnsi="Times New Roman"/>
              <w:b/>
              <w:noProof/>
              <w:sz w:val="14"/>
              <w:szCs w:val="14"/>
            </w:rPr>
            <w:t>3</w:t>
          </w:r>
          <w:r w:rsidRPr="0005634E">
            <w:rPr>
              <w:rFonts w:ascii="Times New Roman" w:hAnsi="Times New Roman"/>
              <w:b/>
              <w:sz w:val="14"/>
              <w:szCs w:val="14"/>
            </w:rPr>
            <w:fldChar w:fldCharType="end"/>
          </w:r>
        </w:p>
      </w:tc>
    </w:tr>
  </w:tbl>
  <w:p w:rsidR="00DF1CAC" w:rsidRPr="0017177D" w:rsidRDefault="00DF1CAC" w:rsidP="004674A7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3E" w:rsidRDefault="0071503E">
      <w:r>
        <w:separator/>
      </w:r>
    </w:p>
  </w:footnote>
  <w:footnote w:type="continuationSeparator" w:id="0">
    <w:p w:rsidR="0071503E" w:rsidRDefault="0071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43" w:type="dxa"/>
        <w:right w:w="115" w:type="dxa"/>
      </w:tblCellMar>
      <w:tblLook w:val="01E0" w:firstRow="1" w:lastRow="1" w:firstColumn="1" w:lastColumn="1" w:noHBand="0" w:noVBand="0"/>
    </w:tblPr>
    <w:tblGrid>
      <w:gridCol w:w="3310"/>
      <w:gridCol w:w="7850"/>
    </w:tblGrid>
    <w:tr w:rsidR="00DF1CAC" w:rsidTr="00C860DC">
      <w:trPr>
        <w:trHeight w:val="20"/>
        <w:jc w:val="center"/>
      </w:trPr>
      <w:tc>
        <w:tcPr>
          <w:tcW w:w="107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DF1CAC" w:rsidRDefault="00DF1CAC" w:rsidP="00C860DC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DF1CAC" w:rsidTr="00C860DC">
      <w:trPr>
        <w:trHeight w:val="350"/>
        <w:jc w:val="center"/>
      </w:trPr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F1CAC" w:rsidRDefault="00A84221" w:rsidP="00C860DC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946275" cy="470535"/>
                <wp:effectExtent l="0" t="0" r="9525" b="1206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2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1CAC" w:rsidRPr="00C860DC" w:rsidRDefault="00DF1CAC" w:rsidP="00C860DC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Operational Safety Procedure Form</w:t>
          </w:r>
        </w:p>
      </w:tc>
    </w:tr>
    <w:tr w:rsidR="00DF1CAC" w:rsidTr="00C860DC">
      <w:trPr>
        <w:trHeight w:val="25"/>
        <w:jc w:val="center"/>
      </w:trPr>
      <w:tc>
        <w:tcPr>
          <w:tcW w:w="107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</w:tcPr>
        <w:p w:rsidR="00DF1CAC" w:rsidRDefault="00DF1CAC" w:rsidP="00C860DC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DF1CAC" w:rsidRPr="00016301" w:rsidRDefault="00DF1CAC" w:rsidP="00180E78">
    <w:pPr>
      <w:rPr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CAC" w:rsidRDefault="00DF1CAC">
    <w:pPr>
      <w:pStyle w:val="Header"/>
      <w:tabs>
        <w:tab w:val="clear" w:pos="4320"/>
        <w:tab w:val="clear" w:pos="8640"/>
        <w:tab w:val="center" w:pos="468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886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718B3"/>
    <w:multiLevelType w:val="multilevel"/>
    <w:tmpl w:val="A6BC1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1E6DC3"/>
    <w:multiLevelType w:val="multilevel"/>
    <w:tmpl w:val="A6BC1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D07EE4"/>
    <w:multiLevelType w:val="hybridMultilevel"/>
    <w:tmpl w:val="401A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3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BB13E9"/>
    <w:multiLevelType w:val="hybridMultilevel"/>
    <w:tmpl w:val="12F21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24A"/>
    <w:multiLevelType w:val="multilevel"/>
    <w:tmpl w:val="187816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D68DF"/>
    <w:multiLevelType w:val="hybridMultilevel"/>
    <w:tmpl w:val="10107A8A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D6"/>
    <w:multiLevelType w:val="multilevel"/>
    <w:tmpl w:val="AD32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D1762"/>
    <w:multiLevelType w:val="hybridMultilevel"/>
    <w:tmpl w:val="6F64F2EE"/>
    <w:lvl w:ilvl="0" w:tplc="A40844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2C5"/>
    <w:multiLevelType w:val="multilevel"/>
    <w:tmpl w:val="D8BA13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468FC"/>
    <w:multiLevelType w:val="hybridMultilevel"/>
    <w:tmpl w:val="C1B820B8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39B5"/>
    <w:multiLevelType w:val="hybridMultilevel"/>
    <w:tmpl w:val="472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39A3"/>
    <w:multiLevelType w:val="multilevel"/>
    <w:tmpl w:val="A6BC1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F7768CF"/>
    <w:multiLevelType w:val="multilevel"/>
    <w:tmpl w:val="F97C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365447"/>
    <w:multiLevelType w:val="hybridMultilevel"/>
    <w:tmpl w:val="E6502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220821"/>
    <w:multiLevelType w:val="multilevel"/>
    <w:tmpl w:val="0A14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F4154"/>
    <w:multiLevelType w:val="multilevel"/>
    <w:tmpl w:val="DB9E00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3844802"/>
    <w:multiLevelType w:val="hybridMultilevel"/>
    <w:tmpl w:val="8936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E162B"/>
    <w:multiLevelType w:val="multilevel"/>
    <w:tmpl w:val="DCD09AC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33D6FA9"/>
    <w:multiLevelType w:val="hybridMultilevel"/>
    <w:tmpl w:val="982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631E0"/>
    <w:multiLevelType w:val="multilevel"/>
    <w:tmpl w:val="DCD09ACA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7991A78"/>
    <w:multiLevelType w:val="multilevel"/>
    <w:tmpl w:val="DCD09ACA"/>
    <w:numStyleLink w:val="ESHManual"/>
  </w:abstractNum>
  <w:abstractNum w:abstractNumId="23" w15:restartNumberingAfterBreak="0">
    <w:nsid w:val="72F74992"/>
    <w:multiLevelType w:val="multilevel"/>
    <w:tmpl w:val="F97C9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B828E3"/>
    <w:multiLevelType w:val="multilevel"/>
    <w:tmpl w:val="9AEE2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5742AE9"/>
    <w:multiLevelType w:val="hybridMultilevel"/>
    <w:tmpl w:val="AF223DDE"/>
    <w:lvl w:ilvl="0" w:tplc="C1465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24A13"/>
    <w:multiLevelType w:val="hybridMultilevel"/>
    <w:tmpl w:val="AA58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21"/>
  </w:num>
  <w:num w:numId="4">
    <w:abstractNumId w:val="12"/>
  </w:num>
  <w:num w:numId="5">
    <w:abstractNumId w:val="9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7"/>
  </w:num>
  <w:num w:numId="11">
    <w:abstractNumId w:val="7"/>
  </w:num>
  <w:num w:numId="12">
    <w:abstractNumId w:val="24"/>
  </w:num>
  <w:num w:numId="13">
    <w:abstractNumId w:val="25"/>
  </w:num>
  <w:num w:numId="14">
    <w:abstractNumId w:val="13"/>
  </w:num>
  <w:num w:numId="15">
    <w:abstractNumId w:val="5"/>
  </w:num>
  <w:num w:numId="16">
    <w:abstractNumId w:val="18"/>
  </w:num>
  <w:num w:numId="17">
    <w:abstractNumId w:val="11"/>
  </w:num>
  <w:num w:numId="18">
    <w:abstractNumId w:val="2"/>
  </w:num>
  <w:num w:numId="19">
    <w:abstractNumId w:val="4"/>
  </w:num>
  <w:num w:numId="20">
    <w:abstractNumId w:val="1"/>
  </w:num>
  <w:num w:numId="21">
    <w:abstractNumId w:val="0"/>
  </w:num>
  <w:num w:numId="22">
    <w:abstractNumId w:val="15"/>
  </w:num>
  <w:num w:numId="23">
    <w:abstractNumId w:val="3"/>
  </w:num>
  <w:num w:numId="24">
    <w:abstractNumId w:val="20"/>
  </w:num>
  <w:num w:numId="25">
    <w:abstractNumId w:val="8"/>
  </w:num>
  <w:num w:numId="26">
    <w:abstractNumId w:val="26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vertical-relative:line" fill="f" fillcolor="yellow">
      <v:fill color="yellow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92"/>
    <w:rsid w:val="00004F30"/>
    <w:rsid w:val="000070A8"/>
    <w:rsid w:val="00016301"/>
    <w:rsid w:val="00022787"/>
    <w:rsid w:val="0008796F"/>
    <w:rsid w:val="000A554E"/>
    <w:rsid w:val="000A63F1"/>
    <w:rsid w:val="000D6906"/>
    <w:rsid w:val="00145077"/>
    <w:rsid w:val="00145F9C"/>
    <w:rsid w:val="00177FED"/>
    <w:rsid w:val="00180E78"/>
    <w:rsid w:val="00187160"/>
    <w:rsid w:val="001A0D3E"/>
    <w:rsid w:val="001E3B61"/>
    <w:rsid w:val="001F3719"/>
    <w:rsid w:val="002143FB"/>
    <w:rsid w:val="00216CDD"/>
    <w:rsid w:val="00221062"/>
    <w:rsid w:val="002340C8"/>
    <w:rsid w:val="0025114D"/>
    <w:rsid w:val="00280FB6"/>
    <w:rsid w:val="00296F84"/>
    <w:rsid w:val="002C1E28"/>
    <w:rsid w:val="003328D2"/>
    <w:rsid w:val="00332C60"/>
    <w:rsid w:val="0035766B"/>
    <w:rsid w:val="00385B80"/>
    <w:rsid w:val="00387549"/>
    <w:rsid w:val="0039654C"/>
    <w:rsid w:val="003A0479"/>
    <w:rsid w:val="003A7ADA"/>
    <w:rsid w:val="003B0BD3"/>
    <w:rsid w:val="003F7897"/>
    <w:rsid w:val="00402BE1"/>
    <w:rsid w:val="0041132D"/>
    <w:rsid w:val="004349E4"/>
    <w:rsid w:val="00456D31"/>
    <w:rsid w:val="004674A7"/>
    <w:rsid w:val="004942BF"/>
    <w:rsid w:val="004B56F0"/>
    <w:rsid w:val="004C2764"/>
    <w:rsid w:val="004D2553"/>
    <w:rsid w:val="004D45FD"/>
    <w:rsid w:val="00532486"/>
    <w:rsid w:val="00543D56"/>
    <w:rsid w:val="00547616"/>
    <w:rsid w:val="00561B4C"/>
    <w:rsid w:val="00591961"/>
    <w:rsid w:val="005B7070"/>
    <w:rsid w:val="005C7DAE"/>
    <w:rsid w:val="005F322D"/>
    <w:rsid w:val="005F41CB"/>
    <w:rsid w:val="006144CA"/>
    <w:rsid w:val="0062557B"/>
    <w:rsid w:val="00626318"/>
    <w:rsid w:val="00692E8F"/>
    <w:rsid w:val="006A1F65"/>
    <w:rsid w:val="006C639B"/>
    <w:rsid w:val="006D59B7"/>
    <w:rsid w:val="006E0091"/>
    <w:rsid w:val="006E192C"/>
    <w:rsid w:val="006E48C3"/>
    <w:rsid w:val="006E78F1"/>
    <w:rsid w:val="0071503E"/>
    <w:rsid w:val="00720C0F"/>
    <w:rsid w:val="00741F3C"/>
    <w:rsid w:val="00744F22"/>
    <w:rsid w:val="007808BF"/>
    <w:rsid w:val="007A2EDA"/>
    <w:rsid w:val="007A4AA9"/>
    <w:rsid w:val="007B7897"/>
    <w:rsid w:val="007C47C6"/>
    <w:rsid w:val="007D4DC9"/>
    <w:rsid w:val="007E33B6"/>
    <w:rsid w:val="007F08CC"/>
    <w:rsid w:val="00845B0A"/>
    <w:rsid w:val="00876FD5"/>
    <w:rsid w:val="008916EB"/>
    <w:rsid w:val="008A56C6"/>
    <w:rsid w:val="008C08A2"/>
    <w:rsid w:val="008C7B4D"/>
    <w:rsid w:val="008E7759"/>
    <w:rsid w:val="008F001B"/>
    <w:rsid w:val="008F2F71"/>
    <w:rsid w:val="008F5EF0"/>
    <w:rsid w:val="00902AA1"/>
    <w:rsid w:val="009032C5"/>
    <w:rsid w:val="0091211B"/>
    <w:rsid w:val="0092388A"/>
    <w:rsid w:val="00950D87"/>
    <w:rsid w:val="009622CB"/>
    <w:rsid w:val="00976002"/>
    <w:rsid w:val="00976EFD"/>
    <w:rsid w:val="009849A5"/>
    <w:rsid w:val="0099729D"/>
    <w:rsid w:val="00A01E6B"/>
    <w:rsid w:val="00A02444"/>
    <w:rsid w:val="00A21F0F"/>
    <w:rsid w:val="00A22600"/>
    <w:rsid w:val="00A271AB"/>
    <w:rsid w:val="00A37A92"/>
    <w:rsid w:val="00A41425"/>
    <w:rsid w:val="00A564FC"/>
    <w:rsid w:val="00A6578B"/>
    <w:rsid w:val="00A81538"/>
    <w:rsid w:val="00A84221"/>
    <w:rsid w:val="00AA4C9B"/>
    <w:rsid w:val="00AA7E10"/>
    <w:rsid w:val="00AE3F1B"/>
    <w:rsid w:val="00AE6C1E"/>
    <w:rsid w:val="00AF0990"/>
    <w:rsid w:val="00AF6DE5"/>
    <w:rsid w:val="00B04682"/>
    <w:rsid w:val="00B200C4"/>
    <w:rsid w:val="00B21337"/>
    <w:rsid w:val="00B24ECA"/>
    <w:rsid w:val="00B441A9"/>
    <w:rsid w:val="00B55B80"/>
    <w:rsid w:val="00B57299"/>
    <w:rsid w:val="00B83E6B"/>
    <w:rsid w:val="00B906B6"/>
    <w:rsid w:val="00BA3105"/>
    <w:rsid w:val="00BD5E6B"/>
    <w:rsid w:val="00BD7CC6"/>
    <w:rsid w:val="00BF1941"/>
    <w:rsid w:val="00C16257"/>
    <w:rsid w:val="00C22949"/>
    <w:rsid w:val="00C37401"/>
    <w:rsid w:val="00C55B56"/>
    <w:rsid w:val="00C716F9"/>
    <w:rsid w:val="00C860DC"/>
    <w:rsid w:val="00C96C22"/>
    <w:rsid w:val="00CA0446"/>
    <w:rsid w:val="00CF31ED"/>
    <w:rsid w:val="00CF76DD"/>
    <w:rsid w:val="00D0739E"/>
    <w:rsid w:val="00D41DE6"/>
    <w:rsid w:val="00D42779"/>
    <w:rsid w:val="00D74B8C"/>
    <w:rsid w:val="00D90564"/>
    <w:rsid w:val="00DA505B"/>
    <w:rsid w:val="00DB2263"/>
    <w:rsid w:val="00DF1CAC"/>
    <w:rsid w:val="00DF39A6"/>
    <w:rsid w:val="00E14277"/>
    <w:rsid w:val="00E261EC"/>
    <w:rsid w:val="00E72981"/>
    <w:rsid w:val="00E740D7"/>
    <w:rsid w:val="00E840B2"/>
    <w:rsid w:val="00E854B8"/>
    <w:rsid w:val="00EF1099"/>
    <w:rsid w:val="00F0664C"/>
    <w:rsid w:val="00F23923"/>
    <w:rsid w:val="00F2546E"/>
    <w:rsid w:val="00F301E2"/>
    <w:rsid w:val="00F302FE"/>
    <w:rsid w:val="00F53F11"/>
    <w:rsid w:val="00F54850"/>
    <w:rsid w:val="00F807E4"/>
    <w:rsid w:val="00FB6F49"/>
    <w:rsid w:val="00FD3467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yellow">
      <v:fill color="yellow" on="f"/>
      <v:textbox inset="0,0,0,0"/>
    </o:shapedefaults>
    <o:shapelayout v:ext="edit">
      <o:idmap v:ext="edit" data="1"/>
    </o:shapelayout>
  </w:shapeDefaults>
  <w:decimalSymbol w:val="."/>
  <w:listSeparator w:val=","/>
  <w14:docId w14:val="5D5C0D2D"/>
  <w15:docId w15:val="{B51F4A03-728A-064D-A13B-9C8AEBEF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90141">
    <w:name w:val="SP90141"/>
    <w:basedOn w:val="Default"/>
    <w:next w:val="Default"/>
    <w:rPr>
      <w:color w:val="auto"/>
    </w:rPr>
  </w:style>
  <w:style w:type="paragraph" w:customStyle="1" w:styleId="SP90129">
    <w:name w:val="SP90129"/>
    <w:basedOn w:val="Default"/>
    <w:next w:val="Default"/>
    <w:rPr>
      <w:color w:val="auto"/>
    </w:rPr>
  </w:style>
  <w:style w:type="paragraph" w:customStyle="1" w:styleId="SP90162">
    <w:name w:val="SP90162"/>
    <w:basedOn w:val="Default"/>
    <w:next w:val="Default"/>
    <w:rPr>
      <w:color w:val="auto"/>
    </w:rPr>
  </w:style>
  <w:style w:type="character" w:customStyle="1" w:styleId="SC2414">
    <w:name w:val="SC2414"/>
    <w:rPr>
      <w:b/>
      <w:bCs/>
      <w:color w:val="000000"/>
    </w:rPr>
  </w:style>
  <w:style w:type="character" w:customStyle="1" w:styleId="SC2443">
    <w:name w:val="SC2443"/>
    <w:rPr>
      <w:color w:val="000000"/>
      <w:sz w:val="20"/>
      <w:szCs w:val="20"/>
    </w:rPr>
  </w:style>
  <w:style w:type="character" w:customStyle="1" w:styleId="SC2460">
    <w:name w:val="SC2460"/>
    <w:rPr>
      <w:b/>
      <w:bCs/>
      <w:color w:val="000000"/>
      <w:sz w:val="32"/>
      <w:szCs w:val="32"/>
    </w:r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HManual">
    <w:name w:val="ES&amp;HManual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A84221"/>
    <w:pPr>
      <w:spacing w:before="100" w:beforeAutospacing="1" w:after="100" w:afterAutospacing="1"/>
      <w:jc w:val="left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2A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fitzger@jlab.org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jlabdoc.jlab.org/docushare/dsweb/View/Collection-13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lab.org/ehs/ehsmanual/3210T1.htm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fanning@jlab.org?subject=ESH%20Manual%203310%20Appendix%20T1%20Operational%20Safety%20Procedure%20For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lab.org/ehs/ehsmanual/3210T3.htm" TargetMode="External"/><Relationship Id="rId24" Type="http://schemas.openxmlformats.org/officeDocument/2006/relationships/hyperlink" Target="http://www.jlab.org/ehs/ehsmanual/3210T3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hyperlink" Target="https://www.jlab.org/ehs/ehsmanual/Glossary.htm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lab.org/ehs/ehsmanual/3310T1.htm" TargetMode="External"/><Relationship Id="rId14" Type="http://schemas.openxmlformats.org/officeDocument/2006/relationships/hyperlink" Target="http://www.jlab.org/div_dept/train/poc.pdf" TargetMode="External"/><Relationship Id="rId22" Type="http://schemas.openxmlformats.org/officeDocument/2006/relationships/hyperlink" Target="https://mis.jlab.org/mis/apps/mis_forms/operational_safety_procedure_form.cf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H%20Manual%20Chapter%203310%20Appendix%20T1%20OSP%20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nning@jlab.org?subject=ESH%20Manual%20Chapter%203310%20Appendix%20T1%20OSP%20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E702-EEFE-7D41-906F-9D47704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Form</vt:lpstr>
    </vt:vector>
  </TitlesOfParts>
  <Company>Jefferson Lab</Company>
  <LinksUpToDate>false</LinksUpToDate>
  <CharactersWithSpaces>12083</CharactersWithSpaces>
  <SharedDoc>false</SharedDoc>
  <HLinks>
    <vt:vector size="78" baseType="variant">
      <vt:variant>
        <vt:i4>4325423</vt:i4>
      </vt:variant>
      <vt:variant>
        <vt:i4>33</vt:i4>
      </vt:variant>
      <vt:variant>
        <vt:i4>0</vt:i4>
      </vt:variant>
      <vt:variant>
        <vt:i4>5</vt:i4>
      </vt:variant>
      <vt:variant>
        <vt:lpwstr>mailto:fanning@jlab.org?subject=ESH%20Manual%203310%20Appendix%20T1%20Operational%20Safety%20Procedure%20Form</vt:lpwstr>
      </vt:variant>
      <vt:variant>
        <vt:lpwstr/>
      </vt:variant>
      <vt:variant>
        <vt:i4>327682</vt:i4>
      </vt:variant>
      <vt:variant>
        <vt:i4>30</vt:i4>
      </vt:variant>
      <vt:variant>
        <vt:i4>0</vt:i4>
      </vt:variant>
      <vt:variant>
        <vt:i4>5</vt:i4>
      </vt:variant>
      <vt:variant>
        <vt:lpwstr>http://www.jlab.org/ehs/ehsmanual/3210T3.htm</vt:lpwstr>
      </vt:variant>
      <vt:variant>
        <vt:lpwstr/>
      </vt:variant>
      <vt:variant>
        <vt:i4>458835</vt:i4>
      </vt:variant>
      <vt:variant>
        <vt:i4>24</vt:i4>
      </vt:variant>
      <vt:variant>
        <vt:i4>0</vt:i4>
      </vt:variant>
      <vt:variant>
        <vt:i4>5</vt:i4>
      </vt:variant>
      <vt:variant>
        <vt:lpwstr>https://jlabdoc.jlab.org/docushare/dsweb/View/Collection-1349</vt:lpwstr>
      </vt:variant>
      <vt:variant>
        <vt:lpwstr/>
      </vt:variant>
      <vt:variant>
        <vt:i4>655470</vt:i4>
      </vt:variant>
      <vt:variant>
        <vt:i4>21</vt:i4>
      </vt:variant>
      <vt:variant>
        <vt:i4>0</vt:i4>
      </vt:variant>
      <vt:variant>
        <vt:i4>5</vt:i4>
      </vt:variant>
      <vt:variant>
        <vt:lpwstr>http://www.jlab.org/div_dept/train/poc.pdf</vt:lpwstr>
      </vt:variant>
      <vt:variant>
        <vt:lpwstr/>
      </vt:variant>
      <vt:variant>
        <vt:i4>458754</vt:i4>
      </vt:variant>
      <vt:variant>
        <vt:i4>18</vt:i4>
      </vt:variant>
      <vt:variant>
        <vt:i4>0</vt:i4>
      </vt:variant>
      <vt:variant>
        <vt:i4>5</vt:i4>
      </vt:variant>
      <vt:variant>
        <vt:lpwstr>http://www.jlab.org/ehs/ehsmanual/3210T1.htm</vt:lpwstr>
      </vt:variant>
      <vt:variant>
        <vt:lpwstr/>
      </vt:variant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http://www.jlab.org/ehs/ehsmanual/3210T3.htm</vt:lpwstr>
      </vt:variant>
      <vt:variant>
        <vt:lpwstr/>
      </vt:variant>
      <vt:variant>
        <vt:i4>983109</vt:i4>
      </vt:variant>
      <vt:variant>
        <vt:i4>12</vt:i4>
      </vt:variant>
      <vt:variant>
        <vt:i4>0</vt:i4>
      </vt:variant>
      <vt:variant>
        <vt:i4>5</vt:i4>
      </vt:variant>
      <vt:variant>
        <vt:lpwstr>https://www.jlab.org/ehs/ehsmanual/Glossary.htm</vt:lpwstr>
      </vt:variant>
      <vt:variant>
        <vt:lpwstr>THADef</vt:lpwstr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https://jlabdoc.jlab.org/docushare/dsweb/Get/Document-24048/3310T1Form.doc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http://www.jlab.org/ehs/ehsmanual/3310T1.htm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mailto:fanning@jlab.org?subject=ESH%20Manual%20Chapter%203310%20Appendix%20T1%20OSP%20Form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mailto:fanning@jlab.org?subject=ESH%20Manual%20Chapter%203310%20Appendix%20T1%20OSP%20Form</vt:lpwstr>
      </vt:variant>
      <vt:variant>
        <vt:lpwstr/>
      </vt:variant>
      <vt:variant>
        <vt:i4>8061050</vt:i4>
      </vt:variant>
      <vt:variant>
        <vt:i4>2364</vt:i4>
      </vt:variant>
      <vt:variant>
        <vt:i4>1028</vt:i4>
      </vt:variant>
      <vt:variant>
        <vt:i4>4</vt:i4>
      </vt:variant>
      <vt:variant>
        <vt:lpwstr>https://jlabdoc.jlab.org/docushare/dsweb/Get/Document-24048/3310T1Form.doc</vt:lpwstr>
      </vt:variant>
      <vt:variant>
        <vt:lpwstr/>
      </vt:variant>
      <vt:variant>
        <vt:i4>458781</vt:i4>
      </vt:variant>
      <vt:variant>
        <vt:i4>-1</vt:i4>
      </vt:variant>
      <vt:variant>
        <vt:i4>1058</vt:i4>
      </vt:variant>
      <vt:variant>
        <vt:i4>4</vt:i4>
      </vt:variant>
      <vt:variant>
        <vt:lpwstr>https://mis.jlab.org/mis/apps/mis_forms/operational_safety_procedure_form.cfm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Form</dc:title>
  <dc:subject/>
  <dc:creator>Mary Jo Bailey</dc:creator>
  <cp:keywords>OSP Form</cp:keywords>
  <cp:lastModifiedBy>Carlos H.G.</cp:lastModifiedBy>
  <cp:revision>17</cp:revision>
  <cp:lastPrinted>2012-05-21T13:51:00Z</cp:lastPrinted>
  <dcterms:created xsi:type="dcterms:W3CDTF">2019-12-09T15:24:00Z</dcterms:created>
  <dcterms:modified xsi:type="dcterms:W3CDTF">2020-09-28T19:37:00Z</dcterms:modified>
</cp:coreProperties>
</file>