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A95356" w:rsidP="005E3FE3">
      <w:pPr>
        <w:pStyle w:val="Heading2"/>
        <w:jc w:val="center"/>
        <w:rPr>
          <w:sz w:val="28"/>
          <w:szCs w:val="28"/>
        </w:rPr>
      </w:pPr>
      <w:r>
        <w:rPr>
          <w:sz w:val="28"/>
          <w:szCs w:val="28"/>
        </w:rPr>
        <w:t>June 2</w:t>
      </w:r>
      <w:bookmarkStart w:id="0" w:name="_GoBack"/>
      <w:bookmarkEnd w:id="0"/>
      <w:r w:rsidR="005E3FE3" w:rsidRPr="001A56E3">
        <w:rPr>
          <w:sz w:val="28"/>
          <w:szCs w:val="28"/>
        </w:rPr>
        <w:t>, 2017</w:t>
      </w:r>
    </w:p>
    <w:p w:rsidR="00BB2FEF" w:rsidRDefault="00BB2FEF" w:rsidP="00BB2FEF"/>
    <w:p w:rsidR="00BB2FEF" w:rsidRPr="00BB2FEF" w:rsidRDefault="006E442B" w:rsidP="00BB2FEF">
      <w:pPr>
        <w:pStyle w:val="Heading2"/>
        <w:jc w:val="center"/>
      </w:pPr>
      <w:r>
        <w:t>JLab-TN-17-028</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w:t>
      </w:r>
      <w:r w:rsidR="004F0E2A">
        <w:rPr>
          <w:lang w:val="en"/>
        </w:rPr>
        <w:t xml:space="preserve"> (from Eljen Technology)</w:t>
      </w:r>
      <w:r>
        <w:rPr>
          <w:lang w:val="en"/>
        </w:rPr>
        <w:t>.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7">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r w:rsidR="00920258">
        <w:fldChar w:fldCharType="begin"/>
      </w:r>
      <w:r w:rsidR="00920258">
        <w:instrText xml:space="preserve"> SEQ Figure \* ARABIC </w:instrText>
      </w:r>
      <w:r w:rsidR="00920258">
        <w:fldChar w:fldCharType="separate"/>
      </w:r>
      <w:r w:rsidR="00920258">
        <w:rPr>
          <w:noProof/>
        </w:rPr>
        <w:t>1</w:t>
      </w:r>
      <w:r w:rsidR="00920258">
        <w:rPr>
          <w:noProof/>
        </w:rPr>
        <w:fldChar w:fldCharType="end"/>
      </w:r>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590288" cy="1572768"/>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8">
                      <a:extLst>
                        <a:ext uri="{28A0092B-C50C-407E-A947-70E740481C1C}">
                          <a14:useLocalDpi xmlns:a14="http://schemas.microsoft.com/office/drawing/2010/main" val="0"/>
                        </a:ext>
                      </a:extLst>
                    </a:blip>
                    <a:stretch>
                      <a:fillRect/>
                    </a:stretch>
                  </pic:blipFill>
                  <pic:spPr>
                    <a:xfrm>
                      <a:off x="0" y="0"/>
                      <a:ext cx="4590288" cy="1572768"/>
                    </a:xfrm>
                    <a:prstGeom prst="rect">
                      <a:avLst/>
                    </a:prstGeom>
                  </pic:spPr>
                </pic:pic>
              </a:graphicData>
            </a:graphic>
          </wp:inline>
        </w:drawing>
      </w:r>
    </w:p>
    <w:p w:rsidR="00F865CE" w:rsidRDefault="00F865CE" w:rsidP="00F865CE">
      <w:pPr>
        <w:pStyle w:val="Caption"/>
        <w:jc w:val="center"/>
        <w:rPr>
          <w:lang w:val="en"/>
        </w:rPr>
      </w:pPr>
      <w:r>
        <w:t xml:space="preserve">Figure </w:t>
      </w:r>
      <w:r w:rsidR="00920258">
        <w:fldChar w:fldCharType="begin"/>
      </w:r>
      <w:r w:rsidR="00920258">
        <w:instrText xml:space="preserve"> SEQ Figure \* ARABIC </w:instrText>
      </w:r>
      <w:r w:rsidR="00920258">
        <w:fldChar w:fldCharType="separate"/>
      </w:r>
      <w:r w:rsidR="00920258">
        <w:rPr>
          <w:noProof/>
        </w:rPr>
        <w:t>2</w:t>
      </w:r>
      <w:r w:rsidR="00920258">
        <w:rPr>
          <w:noProof/>
        </w:rPr>
        <w:fldChar w:fldCharType="end"/>
      </w:r>
      <w:r>
        <w:t>: E detector (be</w:t>
      </w:r>
      <w:r w:rsidR="003C312B">
        <w:t>fore wrapping it with black tape</w:t>
      </w:r>
      <w:r>
        <w:t>).</w:t>
      </w: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is designed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r w:rsidR="00920258">
        <w:fldChar w:fldCharType="begin"/>
      </w:r>
      <w:r w:rsidR="00920258">
        <w:instrText xml:space="preserve"> SEQ Figure \* ARABIC </w:instrText>
      </w:r>
      <w:r w:rsidR="00920258">
        <w:fldChar w:fldCharType="separate"/>
      </w:r>
      <w:r w:rsidR="00920258">
        <w:rPr>
          <w:noProof/>
        </w:rPr>
        <w:t>3</w:t>
      </w:r>
      <w:r w:rsidR="00920258">
        <w:rPr>
          <w:noProof/>
        </w:rPr>
        <w:fldChar w:fldCharType="end"/>
      </w:r>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7B78FD">
      <w:pPr>
        <w:pStyle w:val="Caption"/>
        <w:jc w:val="center"/>
        <w:rPr>
          <w:lang w:val="en"/>
        </w:rPr>
      </w:pPr>
      <w:r>
        <w:t xml:space="preserve">Figure </w:t>
      </w:r>
      <w:r w:rsidR="00920258">
        <w:fldChar w:fldCharType="begin"/>
      </w:r>
      <w:r w:rsidR="00920258">
        <w:instrText xml:space="preserve"> SEQ Figure \* ARABIC </w:instrText>
      </w:r>
      <w:r w:rsidR="00920258">
        <w:fldChar w:fldCharType="separate"/>
      </w:r>
      <w:r w:rsidR="00920258">
        <w:rPr>
          <w:noProof/>
        </w:rPr>
        <w:t>4</w:t>
      </w:r>
      <w:r w:rsidR="00920258">
        <w:rPr>
          <w:noProof/>
        </w:rPr>
        <w:fldChar w:fldCharType="end"/>
      </w:r>
      <w:r>
        <w:t>: E and DE raw detector signals</w:t>
      </w:r>
      <w:r w:rsidR="00F12E42">
        <w:t>.</w:t>
      </w:r>
    </w:p>
    <w:p w:rsidR="00A911C1" w:rsidRDefault="00F865CE" w:rsidP="00A911C1">
      <w:pPr>
        <w:pStyle w:val="NoSpacing"/>
        <w:rPr>
          <w:lang w:val="en"/>
        </w:rPr>
      </w:pPr>
      <w:r>
        <w:rPr>
          <w:lang w:val="en"/>
        </w:rPr>
        <w:lastRenderedPageBreak/>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F12E42" w:rsidP="00A911C1">
      <w:pPr>
        <w:pStyle w:val="NoSpacing"/>
        <w:keepNext/>
        <w:spacing w:line="276" w:lineRule="auto"/>
        <w:jc w:val="center"/>
      </w:pPr>
      <w:r w:rsidRPr="00F12E42">
        <w:rPr>
          <w:noProof/>
        </w:rPr>
        <w:drawing>
          <wp:inline distT="0" distB="0" distL="0" distR="0" wp14:anchorId="3D56661B" wp14:editId="3697DC45">
            <wp:extent cx="5943600" cy="346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2736"/>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r w:rsidR="00920258">
        <w:fldChar w:fldCharType="begin"/>
      </w:r>
      <w:r w:rsidR="00920258">
        <w:instrText xml:space="preserve"> SEQ Figure \* ARABIC </w:instrText>
      </w:r>
      <w:r w:rsidR="00920258">
        <w:fldChar w:fldCharType="separate"/>
      </w:r>
      <w:r w:rsidR="00920258">
        <w:rPr>
          <w:noProof/>
        </w:rPr>
        <w:t>5</w:t>
      </w:r>
      <w:r w:rsidR="00920258">
        <w:rPr>
          <w:noProof/>
        </w:rPr>
        <w:fldChar w:fldCharType="end"/>
      </w:r>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4B5F0D" w:rsidRDefault="00A911C1" w:rsidP="004B5F0D">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r w:rsidR="004B5F0D">
        <w:rPr>
          <w:lang w:val="en"/>
        </w:rPr>
        <w:t xml:space="preserve">  Figure 6 shows a schematic diagram of the Mott DAQ VME crate.</w:t>
      </w:r>
    </w:p>
    <w:p w:rsidR="004B5F0D" w:rsidRDefault="004B5F0D" w:rsidP="004B5F0D">
      <w:pPr>
        <w:pStyle w:val="NoSpacing"/>
        <w:keepNext/>
        <w:rPr>
          <w:lang w:val="en"/>
        </w:rPr>
      </w:pPr>
    </w:p>
    <w:p w:rsidR="004B5F0D" w:rsidRDefault="003C4466" w:rsidP="004B5F0D">
      <w:pPr>
        <w:pStyle w:val="NoSpacing"/>
        <w:keepNext/>
      </w:pPr>
      <w:r>
        <w:rPr>
          <w:rFonts w:eastAsiaTheme="minorEastAsia"/>
        </w:rPr>
        <w:t xml:space="preserve"> </w:t>
      </w:r>
      <w:r w:rsidR="004B5F0D" w:rsidRPr="00F801F4">
        <w:rPr>
          <w:noProof/>
        </w:rPr>
        <w:drawing>
          <wp:inline distT="0" distB="0" distL="0" distR="0" wp14:anchorId="66F4CE96" wp14:editId="58A63EDC">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B5F0D" w:rsidRDefault="004B5F0D" w:rsidP="004B5F0D">
      <w:pPr>
        <w:pStyle w:val="Caption"/>
        <w:jc w:val="center"/>
        <w:rPr>
          <w:lang w:val="en"/>
        </w:rPr>
      </w:pPr>
      <w:r>
        <w:t>Figure 6: Mott DAQ VME crate.</w:t>
      </w:r>
    </w:p>
    <w:p w:rsidR="004B5F0D" w:rsidRDefault="004B5F0D" w:rsidP="004B5F0D">
      <w:pPr>
        <w:pStyle w:val="NoSpacing"/>
      </w:pPr>
      <w:r>
        <w:t>The TID is responsible for providing a low-jitter system clock and fixed latency trigger signals for the Front-end readout boards in the VME data acquisition crate. We have two trigger signals: a Mott Detector Trigger signal (shown is Figure 5) that is used to collect (the random) Mott events and Helicity Trigger signal that runs at a fixed rate and can be used to read the scalers’ counts per helicity window (to measure the helicity correlated charge asymmetry, for example). If the TID is not busy reading out a previous event, it accepts the current event and generates a logic signal called L1A. This signal is used to trigger the readout of the FADC, to start the TDC and to stop/start S2 Scaler (scaler Load-Next-Event LNE signal).</w:t>
      </w:r>
    </w:p>
    <w:p w:rsidR="00E56B52" w:rsidRDefault="00E56B52" w:rsidP="00A911C1">
      <w:pPr>
        <w:pStyle w:val="NoSpacing"/>
      </w:pPr>
    </w:p>
    <w:p w:rsidR="004B5F0D" w:rsidRPr="004B5F0D" w:rsidRDefault="004B5F0D" w:rsidP="00A911C1">
      <w:pPr>
        <w:pStyle w:val="NoSpacing"/>
      </w:pPr>
      <w:r>
        <w:lastRenderedPageBreak/>
        <w:t xml:space="preserve">The FADC is a 250 MS/s (Samples/second) 12-bit ADC that is used to sample the detector signals similar to a digital oscilloscope. It has 16 channels input. The eight channels used for the Mott detectors PMT signals have -500 mV </w:t>
      </w:r>
      <w:proofErr w:type="gramStart"/>
      <w:r>
        <w:t>full-range</w:t>
      </w:r>
      <w:proofErr w:type="gramEnd"/>
      <w:r>
        <w:t xml:space="preserve">. Figure 7 shows an example of the 4 ns samples for few Mott events in the E detectors. For every Mott event in any of the four detector sets, 50 samples from each of the 8 FADC channels for all the four detector sets are part of the readout. </w:t>
      </w:r>
    </w:p>
    <w:p w:rsidR="00A911C1" w:rsidRDefault="00A911C1" w:rsidP="00A911C1">
      <w:pPr>
        <w:pStyle w:val="NoSpacing"/>
        <w:keepNext/>
        <w:jc w:val="center"/>
      </w:pPr>
      <w:r>
        <w:rPr>
          <w:noProof/>
        </w:rPr>
        <w:drawing>
          <wp:inline distT="0" distB="0" distL="0" distR="0">
            <wp:extent cx="4595361" cy="545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85"/>
                    <a:stretch/>
                  </pic:blipFill>
                  <pic:spPr bwMode="auto">
                    <a:xfrm>
                      <a:off x="0" y="0"/>
                      <a:ext cx="4595361" cy="5457825"/>
                    </a:xfrm>
                    <a:prstGeom prst="rect">
                      <a:avLst/>
                    </a:prstGeom>
                    <a:noFill/>
                    <a:ln>
                      <a:noFill/>
                    </a:ln>
                    <a:extLst>
                      <a:ext uri="{53640926-AAD7-44D8-BBD7-CCE9431645EC}">
                        <a14:shadowObscured xmlns:a14="http://schemas.microsoft.com/office/drawing/2010/main"/>
                      </a:ext>
                    </a:extLst>
                  </pic:spPr>
                </pic:pic>
              </a:graphicData>
            </a:graphic>
          </wp:inline>
        </w:drawing>
      </w:r>
    </w:p>
    <w:p w:rsidR="004B5F0D" w:rsidRDefault="00A911C1" w:rsidP="004B5F0D">
      <w:pPr>
        <w:pStyle w:val="Caption"/>
        <w:jc w:val="center"/>
      </w:pPr>
      <w:r>
        <w:t xml:space="preserve">Figure </w:t>
      </w:r>
      <w:r w:rsidR="004B5F0D">
        <w:t>7</w:t>
      </w:r>
      <w:r>
        <w:t>: FADC raw 50 samples (every 4 ns) of E detector signals for few Mott events in each detector set.</w:t>
      </w:r>
    </w:p>
    <w:p w:rsidR="004B5F0D" w:rsidRDefault="004B5F0D" w:rsidP="004B5F0D">
      <w:pPr>
        <w:pStyle w:val="NoSpacing"/>
        <w:rPr>
          <w:rFonts w:eastAsiaTheme="minorEastAsia"/>
        </w:rPr>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4B5F0D" w:rsidRDefault="004B5F0D" w:rsidP="004B5F0D">
      <w:pPr>
        <w:pStyle w:val="NoSpacing"/>
        <w:rPr>
          <w:rFonts w:eastAsiaTheme="minorEastAsia"/>
        </w:rPr>
      </w:pPr>
    </w:p>
    <w:p w:rsidR="004B5F0D" w:rsidRDefault="00E56B52" w:rsidP="00E56B52">
      <w:pPr>
        <w:pStyle w:val="NoSpacing"/>
        <w:rPr>
          <w:lang w:val="en"/>
        </w:rPr>
      </w:pPr>
      <w:r>
        <w:rPr>
          <w:lang w:val="en"/>
        </w:rPr>
        <w:lastRenderedPageBreak/>
        <w:t xml:space="preserve">The TDC has a full scale of 134 ns and a bin resolution </w:t>
      </w:r>
      <w:proofErr w:type="gramStart"/>
      <w:r>
        <w:rPr>
          <w:lang w:val="en"/>
        </w:rPr>
        <w:t xml:space="preserve">of 34 </w:t>
      </w:r>
      <w:proofErr w:type="spellStart"/>
      <w:r>
        <w:rPr>
          <w:lang w:val="en"/>
        </w:rPr>
        <w:t>ps</w:t>
      </w:r>
      <w:proofErr w:type="spellEnd"/>
      <w:r>
        <w:rPr>
          <w:lang w:val="en"/>
        </w:rPr>
        <w:t>/channel</w:t>
      </w:r>
      <w:proofErr w:type="gramEnd"/>
      <w:r>
        <w:rPr>
          <w:lang w:val="en"/>
        </w:rPr>
        <w:t>.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r w:rsidR="004B5F0D">
        <w:rPr>
          <w:lang w:val="en"/>
        </w:rPr>
        <w:t>Figure 8 shows a</w:t>
      </w:r>
      <w:r w:rsidR="00E5647A">
        <w:rPr>
          <w:lang w:val="en"/>
        </w:rPr>
        <w:t>n example of</w:t>
      </w:r>
      <w:r w:rsidR="004B5F0D">
        <w:rPr>
          <w:lang w:val="en"/>
        </w:rPr>
        <w:t xml:space="preserve"> </w:t>
      </w:r>
      <w:r w:rsidR="00E5647A">
        <w:rPr>
          <w:lang w:val="en"/>
        </w:rPr>
        <w:t xml:space="preserve">a </w:t>
      </w:r>
      <w:r w:rsidR="004B5F0D">
        <w:rPr>
          <w:lang w:val="en"/>
        </w:rPr>
        <w:t xml:space="preserve">time-of-flight spectrum with 500 MHz </w:t>
      </w:r>
      <w:r w:rsidR="00E5647A">
        <w:rPr>
          <w:lang w:val="en"/>
        </w:rPr>
        <w:t xml:space="preserve">electron </w:t>
      </w:r>
      <w:r w:rsidR="004B5F0D">
        <w:rPr>
          <w:lang w:val="en"/>
        </w:rPr>
        <w:t>beam showing the 2 ns bunch structure.</w:t>
      </w:r>
    </w:p>
    <w:p w:rsidR="004B5F0D" w:rsidRDefault="004B5F0D" w:rsidP="004B5F0D">
      <w:pPr>
        <w:pStyle w:val="NoSpacing"/>
        <w:keepNext/>
        <w:jc w:val="center"/>
      </w:pPr>
      <w:r>
        <w:rPr>
          <w:noProof/>
        </w:rPr>
        <w:drawing>
          <wp:inline distT="0" distB="0" distL="0" distR="0" wp14:anchorId="178ED2E3" wp14:editId="5D3D0F6E">
            <wp:extent cx="2815960" cy="24574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EvsToF_8308.gif"/>
                    <pic:cNvPicPr/>
                  </pic:nvPicPr>
                  <pic:blipFill rotWithShape="1">
                    <a:blip r:embed="rId14">
                      <a:extLst>
                        <a:ext uri="{28A0092B-C50C-407E-A947-70E740481C1C}">
                          <a14:useLocalDpi xmlns:a14="http://schemas.microsoft.com/office/drawing/2010/main" val="0"/>
                        </a:ext>
                      </a:extLst>
                    </a:blip>
                    <a:srcRect t="4181" b="5923"/>
                    <a:stretch/>
                  </pic:blipFill>
                  <pic:spPr bwMode="auto">
                    <a:xfrm>
                      <a:off x="0" y="0"/>
                      <a:ext cx="2816352" cy="2457792"/>
                    </a:xfrm>
                    <a:prstGeom prst="rect">
                      <a:avLst/>
                    </a:prstGeom>
                    <a:ln>
                      <a:noFill/>
                    </a:ln>
                    <a:extLst>
                      <a:ext uri="{53640926-AAD7-44D8-BBD7-CCE9431645EC}">
                        <a14:shadowObscured xmlns:a14="http://schemas.microsoft.com/office/drawing/2010/main"/>
                      </a:ext>
                    </a:extLst>
                  </pic:spPr>
                </pic:pic>
              </a:graphicData>
            </a:graphic>
          </wp:inline>
        </w:drawing>
      </w:r>
    </w:p>
    <w:p w:rsidR="003C4466" w:rsidRDefault="004B5F0D" w:rsidP="004B5F0D">
      <w:pPr>
        <w:pStyle w:val="Caption"/>
        <w:jc w:val="center"/>
        <w:rPr>
          <w:lang w:val="en"/>
        </w:rPr>
      </w:pPr>
      <w:r>
        <w:t xml:space="preserve">Figure 8: Time-of-flight spectrum with the beam at 500 </w:t>
      </w:r>
      <w:proofErr w:type="spellStart"/>
      <w:r>
        <w:t>MHz.</w:t>
      </w:r>
      <w:proofErr w:type="spellEnd"/>
    </w:p>
    <w:p w:rsidR="003C4466" w:rsidRDefault="003C4466" w:rsidP="00E56B52">
      <w:pPr>
        <w:pStyle w:val="NoSpacing"/>
        <w:rPr>
          <w:lang w:val="en"/>
        </w:rPr>
      </w:pPr>
      <w:r>
        <w:rPr>
          <w:lang w:val="en"/>
        </w:rPr>
        <w:t>Two Struck SIS3801 scalers are part of the DAQ. The first scaler S1 is gated by one of the helicity signals (</w:t>
      </w:r>
      <w:proofErr w:type="spellStart"/>
      <w:r>
        <w:rPr>
          <w:lang w:val="en"/>
        </w:rPr>
        <w:t>T_Settle</w:t>
      </w:r>
      <w:proofErr w:type="spellEnd"/>
      <w:r>
        <w:rPr>
          <w:lang w:val="en"/>
        </w:rPr>
        <w:t>)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w:t>
      </w:r>
      <w:proofErr w:type="spellStart"/>
      <w:r>
        <w:rPr>
          <w:lang w:val="en"/>
        </w:rPr>
        <w:t>VtoF</w:t>
      </w:r>
      <w:proofErr w:type="spellEnd"/>
      <w:r>
        <w:rPr>
          <w:lang w:val="en"/>
        </w:rPr>
        <w:t xml:space="preserve">) and fed into one of the channels of this scaler to calculate the beam charge asymmetry. </w:t>
      </w:r>
    </w:p>
    <w:p w:rsidR="00E56B52" w:rsidRDefault="00E56B5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 xml:space="preserve">riggers used to calculate the DAQ </w:t>
      </w:r>
      <w:proofErr w:type="spellStart"/>
      <w:r w:rsidR="00F64429">
        <w:rPr>
          <w:lang w:val="en"/>
        </w:rPr>
        <w:t>deadtime</w:t>
      </w:r>
      <w:proofErr w:type="spellEnd"/>
      <w:r w:rsidR="00F64429">
        <w:rPr>
          <w:lang w:val="en"/>
        </w:rPr>
        <w:t xml:space="preserv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Data from both scalers are always written to EPICS variables and archived even when the Mott DAQ is not running</w:t>
      </w:r>
      <w:r w:rsidR="00F12E42">
        <w:rPr>
          <w:lang w:val="en"/>
        </w:rPr>
        <w:t xml:space="preserve"> (albeit, S2 only counts when the DAQ is running)</w:t>
      </w:r>
      <w:r w:rsidR="003646AD">
        <w:rPr>
          <w:lang w:val="en"/>
        </w:rPr>
        <w:t xml:space="preserve">. </w:t>
      </w:r>
    </w:p>
    <w:p w:rsidR="004B5F0D" w:rsidRDefault="004B5F0D" w:rsidP="00E56B52">
      <w:pPr>
        <w:pStyle w:val="NoSpacing"/>
        <w:rPr>
          <w:lang w:val="en"/>
        </w:rPr>
      </w:pPr>
    </w:p>
    <w:p w:rsidR="00180E80" w:rsidRDefault="00E56B52" w:rsidP="00E56B52">
      <w:pPr>
        <w:pStyle w:val="NoSpacing"/>
        <w:rPr>
          <w:lang w:val="en"/>
        </w:rPr>
      </w:pPr>
      <w:r>
        <w:rPr>
          <w:lang w:val="en"/>
        </w:rPr>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Pockels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w:t>
      </w:r>
      <w:r w:rsidR="00C84E7E">
        <w:rPr>
          <w:lang w:val="en"/>
        </w:rPr>
        <w:lastRenderedPageBreak/>
        <w:t xml:space="preserve">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 xml:space="preserve">Pattern-Sync signal indicates the start of the Quartet pattern. </w:t>
      </w:r>
      <w:r w:rsidR="00D74A09">
        <w:rPr>
          <w:lang w:val="en"/>
        </w:rPr>
        <w:t>Figure 9</w:t>
      </w:r>
      <w:r w:rsidR="00C84E7E">
        <w:rPr>
          <w:lang w:val="en"/>
        </w:rPr>
        <w:t xml:space="preserve">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w:t>
      </w:r>
      <w:r w:rsidR="003E7FC3">
        <w:rPr>
          <w:lang w:val="en"/>
        </w:rPr>
        <w:t>with -1 V full range</w:t>
      </w:r>
      <w:r w:rsidR="00657732">
        <w:rPr>
          <w:lang w:val="en"/>
        </w:rPr>
        <w:t xml:space="preserve"> </w:t>
      </w:r>
      <w:r w:rsidR="00E7307A">
        <w:rPr>
          <w:lang w:val="en"/>
        </w:rPr>
        <w:t xml:space="preserve">and are used to </w:t>
      </w:r>
      <w:r w:rsidR="00180E80">
        <w:rPr>
          <w:lang w:val="en"/>
        </w:rPr>
        <w:t xml:space="preserve">calculate the Mott asymmetry. </w:t>
      </w:r>
      <w:r w:rsidR="00C05BCA">
        <w:rPr>
          <w:lang w:val="en"/>
        </w:rPr>
        <w:t>The helicity signals are also fed to S1 Control Input to be used to calculate the charge symmetry.</w:t>
      </w:r>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14:anchorId="20FDFDD4" wp14:editId="4AFF7679">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D74A09" w:rsidRDefault="00D74A09" w:rsidP="007B78FD">
      <w:pPr>
        <w:pStyle w:val="Caption"/>
        <w:jc w:val="center"/>
      </w:pPr>
    </w:p>
    <w:p w:rsidR="00260F77" w:rsidRDefault="00260F77" w:rsidP="007B78FD">
      <w:pPr>
        <w:pStyle w:val="Caption"/>
        <w:jc w:val="center"/>
        <w:rPr>
          <w:lang w:val="en"/>
        </w:rPr>
      </w:pPr>
      <w:r>
        <w:t xml:space="preserve">Figure </w:t>
      </w:r>
      <w:r w:rsidR="00D74A09">
        <w:t>9: Helicity signals in the Mott DAQ.</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 xml:space="preserve">file. </w:t>
      </w:r>
      <w:r w:rsidR="00DC0E5C">
        <w:t xml:space="preserve">The DAQ collects Mott events at a rate of about 2 kHz with 15% </w:t>
      </w:r>
      <w:proofErr w:type="spellStart"/>
      <w:r w:rsidR="00DC0E5C">
        <w:t>deadtime</w:t>
      </w:r>
      <w:proofErr w:type="spellEnd"/>
      <w:r w:rsidR="00DC0E5C">
        <w:t xml:space="preserve">. The </w:t>
      </w:r>
      <w:proofErr w:type="spellStart"/>
      <w:r w:rsidR="00DC0E5C">
        <w:t>deadtime</w:t>
      </w:r>
      <w:proofErr w:type="spellEnd"/>
      <w:r w:rsidR="00C05656">
        <w:t xml:space="preserve"> is dominated by the readout of FADC (100 µs, event-by-event readout – no blocks), TDC (16 µs) and S1 and S2 (32 µs).</w:t>
      </w:r>
      <w:r w:rsidR="00833EA3">
        <w:t xml:space="preserve"> </w:t>
      </w:r>
      <w:r w:rsidR="00F12E42">
        <w:t>Each data file (r</w:t>
      </w:r>
      <w:r>
        <w:t xml:space="preserve">un) has few hundreds of thousands of events. </w:t>
      </w:r>
      <w:r w:rsidR="00C31ECF">
        <w:t xml:space="preserve">A typical 5-minute run occupies </w:t>
      </w:r>
      <w:proofErr w:type="spellStart"/>
      <w:r w:rsidR="00C31ECF">
        <w:t>abour</w:t>
      </w:r>
      <w:proofErr w:type="spellEnd"/>
      <w:r w:rsidR="00C31ECF">
        <w:t xml:space="preserve"> 500 MB of disk space. </w:t>
      </w:r>
      <w:r>
        <w:t>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t xml:space="preserve">[2]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65A6"/>
    <w:rsid w:val="00097D37"/>
    <w:rsid w:val="000B34CF"/>
    <w:rsid w:val="000B4779"/>
    <w:rsid w:val="000C1C0D"/>
    <w:rsid w:val="000C52BF"/>
    <w:rsid w:val="000E5225"/>
    <w:rsid w:val="000E574F"/>
    <w:rsid w:val="000E624A"/>
    <w:rsid w:val="000F1FD2"/>
    <w:rsid w:val="000F29DB"/>
    <w:rsid w:val="000F2BA0"/>
    <w:rsid w:val="000F2EC9"/>
    <w:rsid w:val="00113F2F"/>
    <w:rsid w:val="001318F3"/>
    <w:rsid w:val="00150D20"/>
    <w:rsid w:val="001620B1"/>
    <w:rsid w:val="00166FBF"/>
    <w:rsid w:val="00171E97"/>
    <w:rsid w:val="00180E80"/>
    <w:rsid w:val="001A56E3"/>
    <w:rsid w:val="001E304B"/>
    <w:rsid w:val="001E4599"/>
    <w:rsid w:val="001F1676"/>
    <w:rsid w:val="001F1921"/>
    <w:rsid w:val="001F492C"/>
    <w:rsid w:val="0021597D"/>
    <w:rsid w:val="0022109B"/>
    <w:rsid w:val="002508EF"/>
    <w:rsid w:val="002543B3"/>
    <w:rsid w:val="002563F2"/>
    <w:rsid w:val="00260F77"/>
    <w:rsid w:val="002630AB"/>
    <w:rsid w:val="00263C82"/>
    <w:rsid w:val="00282607"/>
    <w:rsid w:val="002858B9"/>
    <w:rsid w:val="002D4EEE"/>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E7FC3"/>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B5F0D"/>
    <w:rsid w:val="004D4CE8"/>
    <w:rsid w:val="004D7A0A"/>
    <w:rsid w:val="004E2564"/>
    <w:rsid w:val="004F0E2A"/>
    <w:rsid w:val="004F44E4"/>
    <w:rsid w:val="00515352"/>
    <w:rsid w:val="00524E7E"/>
    <w:rsid w:val="005262A5"/>
    <w:rsid w:val="00526C88"/>
    <w:rsid w:val="00537DC7"/>
    <w:rsid w:val="00551187"/>
    <w:rsid w:val="00564880"/>
    <w:rsid w:val="00566778"/>
    <w:rsid w:val="0058414B"/>
    <w:rsid w:val="005856AE"/>
    <w:rsid w:val="00596B06"/>
    <w:rsid w:val="005C2A43"/>
    <w:rsid w:val="005D0385"/>
    <w:rsid w:val="005D5DCC"/>
    <w:rsid w:val="005E0B87"/>
    <w:rsid w:val="005E3FE3"/>
    <w:rsid w:val="005E6888"/>
    <w:rsid w:val="005F3956"/>
    <w:rsid w:val="005F4C36"/>
    <w:rsid w:val="00646BC2"/>
    <w:rsid w:val="0065158A"/>
    <w:rsid w:val="00651E9F"/>
    <w:rsid w:val="00657732"/>
    <w:rsid w:val="00657A34"/>
    <w:rsid w:val="00661196"/>
    <w:rsid w:val="00676580"/>
    <w:rsid w:val="00677B82"/>
    <w:rsid w:val="006A236A"/>
    <w:rsid w:val="006A2ECC"/>
    <w:rsid w:val="006A4924"/>
    <w:rsid w:val="006B4D10"/>
    <w:rsid w:val="006B5252"/>
    <w:rsid w:val="006E0FD4"/>
    <w:rsid w:val="006E442B"/>
    <w:rsid w:val="006E5571"/>
    <w:rsid w:val="007063D9"/>
    <w:rsid w:val="007114F9"/>
    <w:rsid w:val="00720900"/>
    <w:rsid w:val="0072233C"/>
    <w:rsid w:val="007367F0"/>
    <w:rsid w:val="0076336E"/>
    <w:rsid w:val="00787E9B"/>
    <w:rsid w:val="007B0880"/>
    <w:rsid w:val="007B154A"/>
    <w:rsid w:val="007B3D32"/>
    <w:rsid w:val="007B78FD"/>
    <w:rsid w:val="007C0CB7"/>
    <w:rsid w:val="007C50BB"/>
    <w:rsid w:val="007F2A12"/>
    <w:rsid w:val="007F7FD7"/>
    <w:rsid w:val="00833EA3"/>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0258"/>
    <w:rsid w:val="00923DE5"/>
    <w:rsid w:val="00931E38"/>
    <w:rsid w:val="009415ED"/>
    <w:rsid w:val="0094798B"/>
    <w:rsid w:val="009604AF"/>
    <w:rsid w:val="00985FAA"/>
    <w:rsid w:val="009A13D6"/>
    <w:rsid w:val="009A3103"/>
    <w:rsid w:val="009A61CC"/>
    <w:rsid w:val="009A7645"/>
    <w:rsid w:val="009D0463"/>
    <w:rsid w:val="00A00D1A"/>
    <w:rsid w:val="00A016F6"/>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95356"/>
    <w:rsid w:val="00AA3267"/>
    <w:rsid w:val="00AB4DBD"/>
    <w:rsid w:val="00AC1682"/>
    <w:rsid w:val="00AC237A"/>
    <w:rsid w:val="00AE0C85"/>
    <w:rsid w:val="00AE38EF"/>
    <w:rsid w:val="00AF3876"/>
    <w:rsid w:val="00B10138"/>
    <w:rsid w:val="00B1430B"/>
    <w:rsid w:val="00B34A41"/>
    <w:rsid w:val="00B47ED5"/>
    <w:rsid w:val="00B51E95"/>
    <w:rsid w:val="00B66DF3"/>
    <w:rsid w:val="00B74229"/>
    <w:rsid w:val="00B82F56"/>
    <w:rsid w:val="00BA2EC9"/>
    <w:rsid w:val="00BA4FA6"/>
    <w:rsid w:val="00BB2FEF"/>
    <w:rsid w:val="00BB4A05"/>
    <w:rsid w:val="00BE2BAC"/>
    <w:rsid w:val="00BE5868"/>
    <w:rsid w:val="00BE5E12"/>
    <w:rsid w:val="00C0045C"/>
    <w:rsid w:val="00C00B34"/>
    <w:rsid w:val="00C01515"/>
    <w:rsid w:val="00C016BB"/>
    <w:rsid w:val="00C05656"/>
    <w:rsid w:val="00C05BCA"/>
    <w:rsid w:val="00C060CA"/>
    <w:rsid w:val="00C1563B"/>
    <w:rsid w:val="00C172CA"/>
    <w:rsid w:val="00C273F4"/>
    <w:rsid w:val="00C31ECF"/>
    <w:rsid w:val="00C33283"/>
    <w:rsid w:val="00C4475C"/>
    <w:rsid w:val="00C52921"/>
    <w:rsid w:val="00C559B5"/>
    <w:rsid w:val="00C82393"/>
    <w:rsid w:val="00C82950"/>
    <w:rsid w:val="00C84E7E"/>
    <w:rsid w:val="00C873A4"/>
    <w:rsid w:val="00CA4A12"/>
    <w:rsid w:val="00CB648C"/>
    <w:rsid w:val="00CC1704"/>
    <w:rsid w:val="00CD04A2"/>
    <w:rsid w:val="00CD186D"/>
    <w:rsid w:val="00CE1E93"/>
    <w:rsid w:val="00CE21DA"/>
    <w:rsid w:val="00CF3B67"/>
    <w:rsid w:val="00D1374F"/>
    <w:rsid w:val="00D2017A"/>
    <w:rsid w:val="00D222C3"/>
    <w:rsid w:val="00D22306"/>
    <w:rsid w:val="00D508A6"/>
    <w:rsid w:val="00D66A5E"/>
    <w:rsid w:val="00D70CA6"/>
    <w:rsid w:val="00D74A09"/>
    <w:rsid w:val="00D75694"/>
    <w:rsid w:val="00DC0E5C"/>
    <w:rsid w:val="00DE467E"/>
    <w:rsid w:val="00DE5451"/>
    <w:rsid w:val="00DE79B6"/>
    <w:rsid w:val="00DF72B4"/>
    <w:rsid w:val="00DF7C9E"/>
    <w:rsid w:val="00E008D6"/>
    <w:rsid w:val="00E00B1E"/>
    <w:rsid w:val="00E27634"/>
    <w:rsid w:val="00E5647A"/>
    <w:rsid w:val="00E56B52"/>
    <w:rsid w:val="00E61C84"/>
    <w:rsid w:val="00E6375B"/>
    <w:rsid w:val="00E6731A"/>
    <w:rsid w:val="00E7307A"/>
    <w:rsid w:val="00E83C8F"/>
    <w:rsid w:val="00E8416F"/>
    <w:rsid w:val="00EA0130"/>
    <w:rsid w:val="00EA777C"/>
    <w:rsid w:val="00EB3AF7"/>
    <w:rsid w:val="00EB6280"/>
    <w:rsid w:val="00EC6FF3"/>
    <w:rsid w:val="00F10A81"/>
    <w:rsid w:val="00F12E42"/>
    <w:rsid w:val="00F252C6"/>
    <w:rsid w:val="00F2793D"/>
    <w:rsid w:val="00F33DE4"/>
    <w:rsid w:val="00F37B45"/>
    <w:rsid w:val="00F43B2E"/>
    <w:rsid w:val="00F45397"/>
    <w:rsid w:val="00F55598"/>
    <w:rsid w:val="00F577EC"/>
    <w:rsid w:val="00F64429"/>
    <w:rsid w:val="00F64CBD"/>
    <w:rsid w:val="00F72AC0"/>
    <w:rsid w:val="00F750BE"/>
    <w:rsid w:val="00F801F4"/>
    <w:rsid w:val="00F81B1B"/>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35874-2C17-4242-8A56-F23B580D2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1472</Words>
  <Characters>8396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27</cp:revision>
  <cp:lastPrinted>2017-06-02T18:52:00Z</cp:lastPrinted>
  <dcterms:created xsi:type="dcterms:W3CDTF">2017-06-02T16:54:00Z</dcterms:created>
  <dcterms:modified xsi:type="dcterms:W3CDTF">2017-06-02T18:53:00Z</dcterms:modified>
</cp:coreProperties>
</file>