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75723176"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Pr>
          <w:rFonts w:ascii="Times New Roman" w:hAnsi="Times New Roman" w:cs="Times New Roman"/>
          <w:sz w:val="24"/>
          <w:szCs w:val="24"/>
        </w:rPr>
        <w:t>17</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5430D84B"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DF5711">
        <w:rPr>
          <w:rFonts w:ascii="Times New Roman" w:hAnsi="Times New Roman" w:cs="Times New Roman"/>
          <w:sz w:val="24"/>
          <w:szCs w:val="24"/>
        </w:rPr>
        <w:t>January</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in January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CA31A8" w14:paraId="619481E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CA31A8" w14:paraId="6125349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1947A9B3"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-I</w:t>
            </w:r>
            <w:r>
              <w:rPr>
                <w:rFonts w:ascii="Times New Roman" w:hAnsi="Times New Roman" w:cs="Times New Roman"/>
                <w:b w:val="0"/>
                <w:sz w:val="24"/>
                <w:szCs w:val="24"/>
              </w:rPr>
              <w:t>nj</w:t>
            </w:r>
          </w:p>
        </w:tc>
        <w:tc>
          <w:tcPr>
            <w:tcW w:w="2070" w:type="dxa"/>
          </w:tcPr>
          <w:p w14:paraId="6D45EF66"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2EFDFED0"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CA31A8" w14:paraId="11EFA038"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1E3DA4" w14:textId="77777777" w:rsidR="00CA31A8" w:rsidRPr="00F7445C" w:rsidRDefault="00CA31A8" w:rsidP="00DB5AE9">
            <w:pPr>
              <w:rPr>
                <w:rFonts w:ascii="Times New Roman" w:hAnsi="Times New Roman" w:cs="Times New Roman"/>
                <w:b w:val="0"/>
                <w:sz w:val="24"/>
                <w:szCs w:val="24"/>
              </w:rPr>
            </w:pPr>
            <w:r w:rsidRPr="00F7445C">
              <w:rPr>
                <w:rFonts w:ascii="Times New Roman" w:hAnsi="Times New Roman" w:cs="Times New Roman"/>
                <w:b w:val="0"/>
                <w:sz w:val="24"/>
                <w:szCs w:val="24"/>
              </w:rPr>
              <w:t>RF</w:t>
            </w:r>
          </w:p>
        </w:tc>
        <w:tc>
          <w:tcPr>
            <w:tcW w:w="2070" w:type="dxa"/>
          </w:tcPr>
          <w:p w14:paraId="7F2F804F"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5C5A5EB1"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Radio-Frequency Group</w:t>
            </w:r>
          </w:p>
        </w:tc>
      </w:tr>
      <w:tr w:rsidR="00895B91" w14:paraId="04614901"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F07BAD9"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4CC6C329"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706FAD9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bookmarkStart w:id="0" w:name="_GoBack"/>
      <w:bookmarkEnd w:id="0"/>
      <w:r>
        <w:rPr>
          <w:rFonts w:ascii="Times New Roman" w:hAnsi="Times New Roman" w:cs="Times New Roman"/>
          <w:sz w:val="24"/>
          <w:szCs w:val="24"/>
        </w:rPr>
        <w: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15693EE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2E6D4A9"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56DEA942"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2C240D5B"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58C7A520"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77777777"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or CASA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71F74110"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E63EB4">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FC3CEF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986D46">
        <w:rPr>
          <w:rFonts w:ascii="Times New Roman" w:hAnsi="Times New Roman" w:cs="Times New Roman"/>
          <w:b/>
          <w:sz w:val="24"/>
          <w:szCs w:val="24"/>
        </w:rPr>
        <w:t>December 2024</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proofErr w:type="spellStart"/>
      <w:r w:rsidRPr="00086D14">
        <w:rPr>
          <w:rFonts w:ascii="Times New Roman" w:hAnsi="Times New Roman" w:cs="Times New Roman"/>
          <w:sz w:val="24"/>
          <w:szCs w:val="24"/>
        </w:rPr>
        <w:t>L</w:t>
      </w:r>
      <w:r w:rsidR="00BC2C8F" w:rsidRPr="00086D14">
        <w:rPr>
          <w:rFonts w:ascii="Times New Roman" w:hAnsi="Times New Roman" w:cs="Times New Roman"/>
          <w:sz w:val="24"/>
          <w:szCs w:val="24"/>
        </w:rPr>
        <w:t>inac</w:t>
      </w:r>
      <w:proofErr w:type="spellEnd"/>
      <w:r w:rsidR="00BC2C8F" w:rsidRPr="00086D14">
        <w:rPr>
          <w:rFonts w:ascii="Times New Roman" w:hAnsi="Times New Roman" w:cs="Times New Roman"/>
          <w:sz w:val="24"/>
          <w:szCs w:val="24"/>
        </w:rPr>
        <w:t xml:space="preserve">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69D586D8"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986D46">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1263C449"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5A15A9BD"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7F440C">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50F381B3"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5A40F5">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5A40F5">
        <w:rPr>
          <w:rFonts w:ascii="Times New Roman" w:hAnsi="Times New Roman" w:cs="Times New Roman"/>
          <w:b/>
          <w:sz w:val="24"/>
          <w:szCs w:val="24"/>
        </w:rPr>
        <w:t>4</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0D1147CB"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2BD06757" w:rsidR="003B1007" w:rsidRPr="005F1B2B"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A8E" w14:textId="77777777" w:rsidR="007F440C" w:rsidRDefault="007F440C" w:rsidP="00DE0F05">
      <w:pPr>
        <w:spacing w:after="0" w:line="240" w:lineRule="auto"/>
      </w:pPr>
      <w:r>
        <w:separator/>
      </w:r>
    </w:p>
  </w:endnote>
  <w:endnote w:type="continuationSeparator" w:id="0">
    <w:p w14:paraId="5F5126CA" w14:textId="77777777" w:rsidR="007F440C" w:rsidRDefault="007F440C"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586A" w14:textId="77777777" w:rsidR="007F440C" w:rsidRDefault="007F440C" w:rsidP="00DE0F05">
      <w:pPr>
        <w:spacing w:after="0" w:line="240" w:lineRule="auto"/>
      </w:pPr>
      <w:r>
        <w:separator/>
      </w:r>
    </w:p>
  </w:footnote>
  <w:footnote w:type="continuationSeparator" w:id="0">
    <w:p w14:paraId="524E84F8" w14:textId="77777777" w:rsidR="007F440C" w:rsidRDefault="007F440C"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A1131"/>
    <w:rsid w:val="005A1704"/>
    <w:rsid w:val="005A40F5"/>
    <w:rsid w:val="005A4780"/>
    <w:rsid w:val="005A7015"/>
    <w:rsid w:val="005B0437"/>
    <w:rsid w:val="005B1979"/>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3</cp:revision>
  <cp:lastPrinted>2023-06-05T17:21:00Z</cp:lastPrinted>
  <dcterms:created xsi:type="dcterms:W3CDTF">2023-10-17T17:32:00Z</dcterms:created>
  <dcterms:modified xsi:type="dcterms:W3CDTF">2023-10-17T17:35:00Z</dcterms:modified>
</cp:coreProperties>
</file>