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86A9F48" w14:textId="77777777" w:rsidR="003D7165" w:rsidRDefault="003D7165" w:rsidP="008B4AC7">
      <w:pPr>
        <w:jc w:val="both"/>
        <w:rPr>
          <w:sz w:val="28"/>
          <w:szCs w:val="28"/>
        </w:rPr>
      </w:pPr>
      <w:bookmarkStart w:id="0" w:name="_GoBack"/>
      <w:bookmarkEnd w:id="0"/>
    </w:p>
    <w:p w14:paraId="5D6D8052" w14:textId="77777777" w:rsidR="003D7165" w:rsidRPr="003D7165" w:rsidRDefault="003D7165" w:rsidP="003D7165">
      <w:pPr>
        <w:jc w:val="both"/>
        <w:rPr>
          <w:sz w:val="28"/>
          <w:szCs w:val="28"/>
        </w:rPr>
      </w:pPr>
      <w:r w:rsidRPr="003D7165">
        <w:rPr>
          <w:sz w:val="28"/>
          <w:szCs w:val="28"/>
        </w:rPr>
        <w:t xml:space="preserve">MOLLER experiment will deliver a 65 </w:t>
      </w:r>
      <w:r w:rsidRPr="003D7165">
        <w:rPr>
          <w:sz w:val="28"/>
          <w:szCs w:val="28"/>
        </w:rPr>
        <w:sym w:font="Symbol" w:char="F06D"/>
      </w:r>
      <w:r w:rsidRPr="003D7165">
        <w:rPr>
          <w:sz w:val="28"/>
          <w:szCs w:val="28"/>
        </w:rPr>
        <w:t xml:space="preserve">A, 11 GeV longitudinally polarized electron beam incident on a 1.25 m long liquid hydrogen target (35 psia, 20 K) in Hall A. The target system will need to handle a heat load of 3.1 kW from the beam, which requires a reliable beam operation with low trip rate. The target system has an electrical heater that comes on once the beam goes away to compensate for the heat load and turns gradually to low output as the beam comes back on to full current. After each trip, the physics data collection resumes once the beam current and hydrogen target are stabilized. At the same time, beam will also be delivered to Halls B, C, and D. The total linac beam current will be as high as 500 </w:t>
      </w:r>
      <w:r w:rsidRPr="003D7165">
        <w:rPr>
          <w:sz w:val="28"/>
          <w:szCs w:val="28"/>
        </w:rPr>
        <w:sym w:font="Symbol" w:char="F06D"/>
      </w:r>
      <w:r w:rsidRPr="003D7165">
        <w:rPr>
          <w:sz w:val="28"/>
          <w:szCs w:val="28"/>
        </w:rPr>
        <w:t>A. The MOLLER experiment requires high reliability, high power, and high efficiency of RF system operation.</w:t>
      </w:r>
    </w:p>
    <w:p w14:paraId="4CE0AA99" w14:textId="77777777" w:rsidR="003D7165" w:rsidRPr="003D7165" w:rsidRDefault="003D7165" w:rsidP="003D7165">
      <w:pPr>
        <w:jc w:val="both"/>
        <w:rPr>
          <w:sz w:val="28"/>
          <w:szCs w:val="28"/>
        </w:rPr>
      </w:pPr>
      <w:r w:rsidRPr="003D7165">
        <w:rPr>
          <w:sz w:val="28"/>
          <w:szCs w:val="28"/>
        </w:rPr>
        <w:t>These are the relevant SRF related issues for MOLLER:</w:t>
      </w:r>
    </w:p>
    <w:p w14:paraId="61FD7D22" w14:textId="77777777" w:rsidR="003D7165" w:rsidRPr="003D7165" w:rsidRDefault="003D7165" w:rsidP="003D7165">
      <w:pPr>
        <w:numPr>
          <w:ilvl w:val="0"/>
          <w:numId w:val="1"/>
        </w:numPr>
        <w:contextualSpacing/>
        <w:jc w:val="both"/>
        <w:rPr>
          <w:sz w:val="28"/>
          <w:szCs w:val="28"/>
        </w:rPr>
      </w:pPr>
      <w:r w:rsidRPr="003D7165">
        <w:rPr>
          <w:sz w:val="28"/>
          <w:szCs w:val="28"/>
        </w:rPr>
        <w:t xml:space="preserve">Beam Trips: when the beam trips, an electrical heater turns on to substitute the heat from the beam and stabilize the target at a constant temperature of 20 K. The target system goes through temperature oscillations of about </w:t>
      </w:r>
      <w:r w:rsidRPr="003D7165">
        <w:rPr>
          <w:sz w:val="28"/>
          <w:szCs w:val="28"/>
        </w:rPr>
        <w:sym w:font="Symbol" w:char="F0B1"/>
      </w:r>
      <w:r w:rsidRPr="003D7165">
        <w:rPr>
          <w:sz w:val="28"/>
          <w:szCs w:val="28"/>
        </w:rPr>
        <w:t>2 K around the nominal temperature. Each trip ends up costing MOLLER: 1 second before trip + accelerator trip recovery time that includes recovery from the trip and beam ramp to full current + time it takes the liquid hydrogen target to stabilize.  The accelerator trip recovery time varies between 0.5 minute and many minutes depending on the trip type and source. Once beam is ramped to full current, it is anticipated that it will take the target about 1 minute to stabilize. The exact time will be determined from beam studies once the target is ready. MOLLER will use the width of the measured detector asymmetry to determine when the target is stabilized. The thermal oscillation will cause target density fluctuations that will increase the asymmetry width. To be able to achieve the proposed uncertainties on the measured physics quantities, the width has to be below a specified maximum value.</w:t>
      </w:r>
    </w:p>
    <w:p w14:paraId="54B65B1D" w14:textId="77777777" w:rsidR="003D7165" w:rsidRPr="003D7165" w:rsidRDefault="003D7165" w:rsidP="003D7165">
      <w:pPr>
        <w:ind w:left="720"/>
        <w:contextualSpacing/>
        <w:jc w:val="both"/>
        <w:rPr>
          <w:sz w:val="28"/>
          <w:szCs w:val="28"/>
        </w:rPr>
      </w:pPr>
      <w:r w:rsidRPr="003D7165">
        <w:rPr>
          <w:sz w:val="28"/>
          <w:szCs w:val="28"/>
        </w:rPr>
        <w:t xml:space="preserve">The MOLLER data acquisition system is continuously running and collecting data. However, the data collected during the trip is thrown away. Therefore, each beam trip is costing MOLLER a few minutes and causing a thermal stress cycle on the target system. For an experiment that plans to run for two years, even a small reduction in the number of trips per hour, or in the time it takes for the accelerator to recover from a trip, can have huge impact on the experiment. MOLLER is requesting the trip rate to be </w:t>
      </w:r>
      <w:r w:rsidRPr="003D7165">
        <w:rPr>
          <w:sz w:val="28"/>
          <w:szCs w:val="28"/>
          <w:u w:val="single"/>
        </w:rPr>
        <w:t>below six RF trips per hour</w:t>
      </w:r>
      <w:r w:rsidRPr="003D7165">
        <w:rPr>
          <w:sz w:val="28"/>
          <w:szCs w:val="28"/>
        </w:rPr>
        <w:t>.</w:t>
      </w:r>
      <w:r>
        <w:rPr>
          <w:sz w:val="28"/>
          <w:szCs w:val="28"/>
        </w:rPr>
        <w:t xml:space="preserve"> </w:t>
      </w:r>
      <w:r w:rsidRPr="003D7165">
        <w:rPr>
          <w:color w:val="FF0000"/>
          <w:sz w:val="28"/>
          <w:szCs w:val="28"/>
        </w:rPr>
        <w:t xml:space="preserve">(Assuming trips those are closely related to RF system, including trips caused by RF source, RF window, LLRF and RF cavity, etc.) </w:t>
      </w:r>
      <w:r w:rsidRPr="003D7165">
        <w:rPr>
          <w:sz w:val="28"/>
          <w:szCs w:val="28"/>
        </w:rPr>
        <w:t>Other accelerator systems can also cause beam trips, for example, the Beam Loss Monitors (BLMs), some can be traced back to the RF system. The total number of beam trips should remain below ten trips from all sources.</w:t>
      </w:r>
    </w:p>
    <w:p w14:paraId="72D25899" w14:textId="77777777" w:rsidR="003D7165" w:rsidRPr="003D7165" w:rsidRDefault="003D7165" w:rsidP="003D7165">
      <w:pPr>
        <w:ind w:left="720"/>
        <w:contextualSpacing/>
        <w:jc w:val="both"/>
        <w:rPr>
          <w:sz w:val="28"/>
          <w:szCs w:val="28"/>
        </w:rPr>
      </w:pPr>
    </w:p>
    <w:p w14:paraId="0A9DE976" w14:textId="77777777" w:rsidR="003D7165" w:rsidRDefault="003D7165" w:rsidP="003D7165">
      <w:pPr>
        <w:numPr>
          <w:ilvl w:val="0"/>
          <w:numId w:val="1"/>
        </w:numPr>
        <w:contextualSpacing/>
        <w:jc w:val="both"/>
        <w:rPr>
          <w:sz w:val="28"/>
          <w:szCs w:val="28"/>
        </w:rPr>
      </w:pPr>
      <w:r w:rsidRPr="003D7165">
        <w:rPr>
          <w:sz w:val="28"/>
          <w:szCs w:val="28"/>
        </w:rPr>
        <w:t>Energy Stability – Transient, Jitter, and Drift:</w:t>
      </w:r>
    </w:p>
    <w:p w14:paraId="4C7397A9" w14:textId="648E23AA" w:rsidR="00FA500F" w:rsidRPr="00FA500F" w:rsidRDefault="00FA500F" w:rsidP="00FA500F">
      <w:pPr>
        <w:ind w:left="1440"/>
        <w:contextualSpacing/>
        <w:jc w:val="both"/>
        <w:rPr>
          <w:color w:val="FF0000"/>
          <w:sz w:val="28"/>
          <w:szCs w:val="28"/>
        </w:rPr>
      </w:pPr>
      <w:r w:rsidRPr="00FA500F">
        <w:rPr>
          <w:color w:val="FF0000"/>
          <w:sz w:val="28"/>
          <w:szCs w:val="28"/>
        </w:rPr>
        <w:t xml:space="preserve">(What is the best reached beam stability in </w:t>
      </w:r>
      <w:r>
        <w:rPr>
          <w:color w:val="FF0000"/>
          <w:sz w:val="28"/>
          <w:szCs w:val="28"/>
        </w:rPr>
        <w:t xml:space="preserve">large </w:t>
      </w:r>
      <w:r w:rsidRPr="00FA500F">
        <w:rPr>
          <w:color w:val="FF0000"/>
          <w:sz w:val="28"/>
          <w:szCs w:val="28"/>
        </w:rPr>
        <w:t xml:space="preserve">machines like </w:t>
      </w:r>
      <w:proofErr w:type="spellStart"/>
      <w:r w:rsidRPr="00FA500F">
        <w:rPr>
          <w:color w:val="FF0000"/>
          <w:sz w:val="28"/>
          <w:szCs w:val="28"/>
        </w:rPr>
        <w:t>Europen</w:t>
      </w:r>
      <w:proofErr w:type="spellEnd"/>
      <w:r w:rsidRPr="00FA500F">
        <w:rPr>
          <w:color w:val="FF0000"/>
          <w:sz w:val="28"/>
          <w:szCs w:val="28"/>
        </w:rPr>
        <w:t xml:space="preserve"> XFEL </w:t>
      </w:r>
      <w:r>
        <w:rPr>
          <w:color w:val="FF0000"/>
          <w:sz w:val="28"/>
          <w:szCs w:val="28"/>
        </w:rPr>
        <w:t>or</w:t>
      </w:r>
      <w:r w:rsidRPr="00FA500F">
        <w:rPr>
          <w:color w:val="FF0000"/>
          <w:sz w:val="28"/>
          <w:szCs w:val="28"/>
        </w:rPr>
        <w:t xml:space="preserve"> LCLS-II?)</w:t>
      </w:r>
    </w:p>
    <w:p w14:paraId="186CFF4C" w14:textId="4F856B56" w:rsidR="00FA500F" w:rsidRPr="003D7165" w:rsidRDefault="00FA500F" w:rsidP="00FA500F">
      <w:pPr>
        <w:ind w:left="1440"/>
        <w:contextualSpacing/>
        <w:jc w:val="both"/>
        <w:rPr>
          <w:sz w:val="28"/>
          <w:szCs w:val="28"/>
        </w:rPr>
      </w:pPr>
      <w:r>
        <w:rPr>
          <w:sz w:val="28"/>
          <w:szCs w:val="28"/>
        </w:rPr>
        <w:t xml:space="preserve"> </w:t>
      </w:r>
    </w:p>
    <w:p w14:paraId="6711FB5A" w14:textId="77777777" w:rsidR="003D7165" w:rsidRDefault="003D7165" w:rsidP="003D7165">
      <w:pPr>
        <w:numPr>
          <w:ilvl w:val="1"/>
          <w:numId w:val="1"/>
        </w:numPr>
        <w:contextualSpacing/>
        <w:jc w:val="both"/>
        <w:rPr>
          <w:sz w:val="28"/>
          <w:szCs w:val="28"/>
        </w:rPr>
      </w:pPr>
      <w:r w:rsidRPr="003D7165">
        <w:rPr>
          <w:sz w:val="28"/>
          <w:szCs w:val="28"/>
        </w:rPr>
        <w:t xml:space="preserve">Transient: this is a change in beam energy on the time scale of micro-second. If the energy change is in the order of 1 MeV per linac, then such transient may cause a BLM trip. </w:t>
      </w:r>
      <w:r w:rsidRPr="003D7165">
        <w:rPr>
          <w:sz w:val="28"/>
          <w:szCs w:val="28"/>
          <w:u w:val="single"/>
        </w:rPr>
        <w:t>SRF cavity instability</w:t>
      </w:r>
      <w:r w:rsidRPr="003D7165">
        <w:rPr>
          <w:sz w:val="28"/>
          <w:szCs w:val="28"/>
        </w:rPr>
        <w:t xml:space="preserve"> is the main reason for such trip. The cavity may not trip, which make it very hard to find the source and fix. The accelerator is implementing new AI techniques to help with this. Solving the root cause of cavity instabilities would be very beneficial.</w:t>
      </w:r>
    </w:p>
    <w:p w14:paraId="37E4A155" w14:textId="77777777" w:rsidR="003D7165" w:rsidRDefault="003D7165" w:rsidP="003D7165">
      <w:pPr>
        <w:ind w:left="1440"/>
        <w:contextualSpacing/>
        <w:jc w:val="both"/>
        <w:rPr>
          <w:color w:val="FF0000"/>
          <w:sz w:val="28"/>
          <w:szCs w:val="28"/>
        </w:rPr>
      </w:pPr>
      <w:r w:rsidRPr="003D7165">
        <w:rPr>
          <w:color w:val="FF0000"/>
          <w:sz w:val="28"/>
          <w:szCs w:val="28"/>
        </w:rPr>
        <w:t>(some observed example?)</w:t>
      </w:r>
    </w:p>
    <w:p w14:paraId="590E1A76" w14:textId="77777777" w:rsidR="00C06804" w:rsidRDefault="00C06804" w:rsidP="003D7165">
      <w:pPr>
        <w:ind w:left="1440"/>
        <w:contextualSpacing/>
        <w:jc w:val="both"/>
        <w:rPr>
          <w:color w:val="FF0000"/>
          <w:sz w:val="28"/>
          <w:szCs w:val="28"/>
        </w:rPr>
      </w:pPr>
    </w:p>
    <w:p w14:paraId="0D19FFE1" w14:textId="77777777" w:rsidR="003D7165" w:rsidRDefault="003D7165" w:rsidP="003D7165">
      <w:pPr>
        <w:ind w:left="1440"/>
        <w:contextualSpacing/>
        <w:jc w:val="both"/>
        <w:rPr>
          <w:color w:val="FF0000"/>
          <w:sz w:val="28"/>
          <w:szCs w:val="28"/>
        </w:rPr>
      </w:pPr>
      <w:r>
        <w:rPr>
          <w:color w:val="FF0000"/>
          <w:sz w:val="28"/>
          <w:szCs w:val="28"/>
        </w:rPr>
        <w:t>(What kind of SRF cavity instability is referred? Needs clarification.)</w:t>
      </w:r>
    </w:p>
    <w:p w14:paraId="397A1A81" w14:textId="77777777" w:rsidR="00C06804" w:rsidRDefault="00C06804" w:rsidP="003D7165">
      <w:pPr>
        <w:ind w:left="1440"/>
        <w:contextualSpacing/>
        <w:jc w:val="both"/>
        <w:rPr>
          <w:color w:val="FF0000"/>
          <w:sz w:val="28"/>
          <w:szCs w:val="28"/>
        </w:rPr>
      </w:pPr>
    </w:p>
    <w:p w14:paraId="1C579072" w14:textId="77777777" w:rsidR="003D7165" w:rsidRPr="003D7165" w:rsidRDefault="003D7165" w:rsidP="003D7165">
      <w:pPr>
        <w:ind w:left="1440"/>
        <w:contextualSpacing/>
        <w:jc w:val="both"/>
        <w:rPr>
          <w:color w:val="FF0000"/>
          <w:sz w:val="28"/>
          <w:szCs w:val="28"/>
        </w:rPr>
      </w:pPr>
      <w:r>
        <w:rPr>
          <w:color w:val="FF0000"/>
          <w:sz w:val="28"/>
          <w:szCs w:val="28"/>
        </w:rPr>
        <w:t>(</w:t>
      </w:r>
      <w:r w:rsidRPr="003D7165">
        <w:rPr>
          <w:color w:val="FF0000"/>
          <w:sz w:val="28"/>
          <w:szCs w:val="28"/>
        </w:rPr>
        <w:t>CEBAF transient beam loading</w:t>
      </w:r>
      <w:r>
        <w:rPr>
          <w:color w:val="FF0000"/>
          <w:sz w:val="28"/>
          <w:szCs w:val="28"/>
        </w:rPr>
        <w:t xml:space="preserve"> with Moller beam included was studied in 2024 by Jiquan, see attachment. The study result show that the  energy s</w:t>
      </w:r>
      <w:r w:rsidRPr="003D7165">
        <w:rPr>
          <w:color w:val="FF0000"/>
          <w:sz w:val="28"/>
          <w:szCs w:val="28"/>
        </w:rPr>
        <w:t>pread (</w:t>
      </w:r>
      <w:r>
        <w:rPr>
          <w:color w:val="FF0000"/>
          <w:sz w:val="28"/>
          <w:szCs w:val="28"/>
        </w:rPr>
        <w:t>E</w:t>
      </w:r>
      <w:r w:rsidRPr="003D7165">
        <w:rPr>
          <w:color w:val="FF0000"/>
          <w:sz w:val="28"/>
          <w:szCs w:val="28"/>
          <w:vertAlign w:val="subscript"/>
        </w:rPr>
        <w:t>max</w:t>
      </w:r>
      <w:r>
        <w:rPr>
          <w:color w:val="FF0000"/>
          <w:sz w:val="28"/>
          <w:szCs w:val="28"/>
          <w:vertAlign w:val="subscript"/>
        </w:rPr>
        <w:t xml:space="preserve"> </w:t>
      </w:r>
      <w:r w:rsidRPr="003D7165">
        <w:rPr>
          <w:color w:val="FF0000"/>
          <w:sz w:val="28"/>
          <w:szCs w:val="28"/>
        </w:rPr>
        <w:t>-</w:t>
      </w:r>
      <w:r>
        <w:rPr>
          <w:color w:val="FF0000"/>
          <w:sz w:val="28"/>
          <w:szCs w:val="28"/>
        </w:rPr>
        <w:t xml:space="preserve"> E</w:t>
      </w:r>
      <w:r w:rsidRPr="003D7165">
        <w:rPr>
          <w:color w:val="FF0000"/>
          <w:sz w:val="28"/>
          <w:szCs w:val="28"/>
          <w:vertAlign w:val="subscript"/>
        </w:rPr>
        <w:t>min</w:t>
      </w:r>
      <w:r w:rsidRPr="003D7165">
        <w:rPr>
          <w:color w:val="FF0000"/>
          <w:sz w:val="28"/>
          <w:szCs w:val="28"/>
        </w:rPr>
        <w:t xml:space="preserve"> after 5 SL/NL passes) between bunches</w:t>
      </w:r>
      <w:r>
        <w:rPr>
          <w:color w:val="FF0000"/>
          <w:sz w:val="28"/>
          <w:szCs w:val="28"/>
        </w:rPr>
        <w:t xml:space="preserve"> for</w:t>
      </w:r>
    </w:p>
    <w:p w14:paraId="664D2720" w14:textId="77777777" w:rsidR="003D7165" w:rsidRPr="003D7165" w:rsidRDefault="003D7165" w:rsidP="003D7165">
      <w:pPr>
        <w:ind w:left="1440"/>
        <w:contextualSpacing/>
        <w:jc w:val="both"/>
        <w:rPr>
          <w:color w:val="FF0000"/>
          <w:sz w:val="28"/>
          <w:szCs w:val="28"/>
        </w:rPr>
      </w:pPr>
      <w:r w:rsidRPr="003D7165">
        <w:rPr>
          <w:color w:val="FF0000"/>
          <w:sz w:val="28"/>
          <w:szCs w:val="28"/>
        </w:rPr>
        <w:t xml:space="preserve">Hall A </w:t>
      </w:r>
      <w:r>
        <w:rPr>
          <w:color w:val="FF0000"/>
          <w:sz w:val="28"/>
          <w:szCs w:val="28"/>
        </w:rPr>
        <w:t>is ~1.1 k</w:t>
      </w:r>
      <w:r w:rsidRPr="003D7165">
        <w:rPr>
          <w:color w:val="FF0000"/>
          <w:sz w:val="28"/>
          <w:szCs w:val="28"/>
        </w:rPr>
        <w:t>eV</w:t>
      </w:r>
      <w:r w:rsidR="00C06804">
        <w:rPr>
          <w:color w:val="FF0000"/>
          <w:sz w:val="28"/>
          <w:szCs w:val="28"/>
        </w:rPr>
        <w:t>. Is Jiquan’s study about the same thing stated above?</w:t>
      </w:r>
      <w:r>
        <w:rPr>
          <w:color w:val="FF0000"/>
          <w:sz w:val="28"/>
          <w:szCs w:val="28"/>
        </w:rPr>
        <w:t>)</w:t>
      </w:r>
    </w:p>
    <w:p w14:paraId="38E2DBEE" w14:textId="77777777" w:rsidR="003D7165" w:rsidRDefault="003D7165" w:rsidP="003D7165">
      <w:pPr>
        <w:numPr>
          <w:ilvl w:val="1"/>
          <w:numId w:val="1"/>
        </w:numPr>
        <w:contextualSpacing/>
        <w:jc w:val="both"/>
        <w:rPr>
          <w:sz w:val="28"/>
          <w:szCs w:val="28"/>
        </w:rPr>
      </w:pPr>
      <w:r w:rsidRPr="003D7165">
        <w:rPr>
          <w:sz w:val="28"/>
          <w:szCs w:val="28"/>
        </w:rPr>
        <w:t xml:space="preserve">Jitter: this is a fluctuation (random noise) on beam energy on the time scale of </w:t>
      </w:r>
      <w:proofErr w:type="spellStart"/>
      <w:r w:rsidRPr="003D7165">
        <w:rPr>
          <w:sz w:val="28"/>
          <w:szCs w:val="28"/>
        </w:rPr>
        <w:t>milli</w:t>
      </w:r>
      <w:proofErr w:type="spellEnd"/>
      <w:r w:rsidRPr="003D7165">
        <w:rPr>
          <w:sz w:val="28"/>
          <w:szCs w:val="28"/>
        </w:rPr>
        <w:t xml:space="preserve">-second. In the middle of Hall A Arc, where the energy is measured by the Beam Position Monitor 1C12, where the dispersion is 2 cm/%, the </w:t>
      </w:r>
      <w:r w:rsidRPr="003D7165">
        <w:rPr>
          <w:sz w:val="28"/>
          <w:szCs w:val="28"/>
          <w:u w:val="single"/>
        </w:rPr>
        <w:t xml:space="preserve">x-position jitter should be kept below 55 </w:t>
      </w:r>
      <w:r w:rsidRPr="003D7165">
        <w:rPr>
          <w:sz w:val="28"/>
          <w:szCs w:val="28"/>
          <w:u w:val="single"/>
        </w:rPr>
        <w:sym w:font="Symbol" w:char="F06D"/>
      </w:r>
      <w:r w:rsidRPr="003D7165">
        <w:rPr>
          <w:sz w:val="28"/>
          <w:szCs w:val="28"/>
          <w:u w:val="single"/>
        </w:rPr>
        <w:t>m</w:t>
      </w:r>
      <w:r w:rsidRPr="003D7165">
        <w:rPr>
          <w:sz w:val="28"/>
          <w:szCs w:val="28"/>
        </w:rPr>
        <w:t>. This corresponds to beam energy jitter of 2.4 MeV on the 11 GeV beam delivered to Hall A. The beam jitter is caused by fluctuations in the SRF cavities’ powers or phases.</w:t>
      </w:r>
    </w:p>
    <w:p w14:paraId="721C031D" w14:textId="77777777" w:rsidR="00C06804" w:rsidRDefault="00C06804" w:rsidP="00C06804">
      <w:pPr>
        <w:ind w:left="1440"/>
        <w:contextualSpacing/>
        <w:jc w:val="both"/>
        <w:rPr>
          <w:color w:val="FF0000"/>
          <w:sz w:val="28"/>
          <w:szCs w:val="28"/>
        </w:rPr>
      </w:pPr>
      <w:r w:rsidRPr="00C06804">
        <w:rPr>
          <w:color w:val="FF0000"/>
          <w:sz w:val="28"/>
          <w:szCs w:val="28"/>
        </w:rPr>
        <w:t>(</w:t>
      </w:r>
      <w:r>
        <w:rPr>
          <w:color w:val="FF0000"/>
          <w:sz w:val="28"/>
          <w:szCs w:val="28"/>
        </w:rPr>
        <w:t xml:space="preserve">assuming the 55 um x-position jitter requirement is for location at the LH2 target since 2.4 MeV/11 GeV * 2 cm/% = 44 um </w:t>
      </w:r>
      <w:r w:rsidRPr="00C06804">
        <w:rPr>
          <w:color w:val="FF0000"/>
          <w:sz w:val="28"/>
          <w:szCs w:val="28"/>
        </w:rPr>
        <w:t>)</w:t>
      </w:r>
    </w:p>
    <w:p w14:paraId="0429351A" w14:textId="77777777" w:rsidR="00C06804" w:rsidRDefault="00C06804" w:rsidP="00C06804">
      <w:pPr>
        <w:ind w:left="1440"/>
        <w:contextualSpacing/>
        <w:jc w:val="both"/>
        <w:rPr>
          <w:color w:val="FF0000"/>
          <w:sz w:val="28"/>
          <w:szCs w:val="28"/>
        </w:rPr>
      </w:pPr>
      <w:r>
        <w:rPr>
          <w:color w:val="FF0000"/>
          <w:sz w:val="28"/>
          <w:szCs w:val="28"/>
        </w:rPr>
        <w:t>(more details of the source of the beam  jitter is needed)</w:t>
      </w:r>
    </w:p>
    <w:p w14:paraId="3BE6D80C" w14:textId="77777777" w:rsidR="00C06804" w:rsidRDefault="00C06804" w:rsidP="00C06804">
      <w:pPr>
        <w:ind w:left="1440"/>
        <w:contextualSpacing/>
        <w:jc w:val="both"/>
        <w:rPr>
          <w:color w:val="FF0000"/>
          <w:sz w:val="28"/>
          <w:szCs w:val="28"/>
        </w:rPr>
      </w:pPr>
    </w:p>
    <w:p w14:paraId="1FF5724A" w14:textId="4E416603" w:rsidR="00AC2819" w:rsidRDefault="00AC2819" w:rsidP="00C06804">
      <w:pPr>
        <w:ind w:left="1440"/>
        <w:contextualSpacing/>
        <w:jc w:val="both"/>
        <w:rPr>
          <w:color w:val="FF0000"/>
          <w:sz w:val="28"/>
          <w:szCs w:val="28"/>
        </w:rPr>
      </w:pPr>
      <w:r>
        <w:rPr>
          <w:color w:val="FF0000"/>
          <w:sz w:val="28"/>
          <w:szCs w:val="28"/>
        </w:rPr>
        <w:t xml:space="preserve">(where is the mentioned </w:t>
      </w:r>
      <w:proofErr w:type="spellStart"/>
      <w:r>
        <w:rPr>
          <w:color w:val="FF0000"/>
          <w:sz w:val="28"/>
          <w:szCs w:val="28"/>
        </w:rPr>
        <w:t>nano</w:t>
      </w:r>
      <w:proofErr w:type="spellEnd"/>
      <w:r>
        <w:rPr>
          <w:color w:val="FF0000"/>
          <w:sz w:val="28"/>
          <w:szCs w:val="28"/>
        </w:rPr>
        <w:t>-scale?)</w:t>
      </w:r>
    </w:p>
    <w:p w14:paraId="464E4951" w14:textId="77777777" w:rsidR="00AC2819" w:rsidRDefault="00AC2819" w:rsidP="00C06804">
      <w:pPr>
        <w:ind w:left="1440"/>
        <w:contextualSpacing/>
        <w:jc w:val="both"/>
        <w:rPr>
          <w:color w:val="FF0000"/>
          <w:sz w:val="28"/>
          <w:szCs w:val="28"/>
        </w:rPr>
      </w:pPr>
    </w:p>
    <w:p w14:paraId="21FB27A4" w14:textId="323D0F86" w:rsidR="00C06804" w:rsidRDefault="00C06804" w:rsidP="00C06804">
      <w:pPr>
        <w:ind w:left="1440"/>
        <w:contextualSpacing/>
        <w:jc w:val="both"/>
        <w:rPr>
          <w:color w:val="FF0000"/>
          <w:sz w:val="28"/>
          <w:szCs w:val="28"/>
        </w:rPr>
      </w:pPr>
      <w:r>
        <w:rPr>
          <w:color w:val="FF0000"/>
          <w:sz w:val="28"/>
          <w:szCs w:val="28"/>
        </w:rPr>
        <w:t>(what is the BPM resolution)</w:t>
      </w:r>
    </w:p>
    <w:p w14:paraId="1057FE07" w14:textId="77777777" w:rsidR="00AC2819" w:rsidRDefault="00AC2819" w:rsidP="00C06804">
      <w:pPr>
        <w:ind w:left="1440"/>
        <w:contextualSpacing/>
        <w:jc w:val="both"/>
        <w:rPr>
          <w:color w:val="FF0000"/>
          <w:sz w:val="28"/>
          <w:szCs w:val="28"/>
        </w:rPr>
      </w:pPr>
    </w:p>
    <w:p w14:paraId="3B2C8BE8" w14:textId="77777777" w:rsidR="00C06804" w:rsidRDefault="00C06804" w:rsidP="00C06804">
      <w:pPr>
        <w:ind w:left="1440"/>
        <w:contextualSpacing/>
        <w:jc w:val="both"/>
        <w:rPr>
          <w:color w:val="FF0000"/>
          <w:sz w:val="28"/>
          <w:szCs w:val="28"/>
        </w:rPr>
      </w:pPr>
    </w:p>
    <w:p w14:paraId="37000824" w14:textId="77777777" w:rsidR="00C06804" w:rsidRDefault="00C06804" w:rsidP="00C06804">
      <w:pPr>
        <w:ind w:left="1440"/>
        <w:contextualSpacing/>
        <w:jc w:val="both"/>
        <w:rPr>
          <w:color w:val="FF0000"/>
          <w:sz w:val="28"/>
          <w:szCs w:val="28"/>
        </w:rPr>
      </w:pPr>
      <w:r>
        <w:rPr>
          <w:color w:val="FF0000"/>
          <w:sz w:val="28"/>
          <w:szCs w:val="28"/>
        </w:rPr>
        <w:t>(the most concerned energy stability, because the</w:t>
      </w:r>
      <w:r w:rsidRPr="00C06804">
        <w:rPr>
          <w:color w:val="FF0000"/>
          <w:sz w:val="28"/>
          <w:szCs w:val="28"/>
        </w:rPr>
        <w:t xml:space="preserve"> density fluctuations at the timescale of the helicity flip rate</w:t>
      </w:r>
      <w:r>
        <w:rPr>
          <w:color w:val="FF0000"/>
          <w:sz w:val="28"/>
          <w:szCs w:val="28"/>
        </w:rPr>
        <w:t xml:space="preserve">, </w:t>
      </w:r>
      <w:r w:rsidRPr="00C06804">
        <w:rPr>
          <w:b/>
          <w:color w:val="FF0000"/>
          <w:sz w:val="28"/>
          <w:szCs w:val="28"/>
        </w:rPr>
        <w:t>1.92 kHz</w:t>
      </w:r>
      <w:r>
        <w:rPr>
          <w:color w:val="FF0000"/>
          <w:sz w:val="28"/>
          <w:szCs w:val="28"/>
        </w:rPr>
        <w:t xml:space="preserve"> for Moller</w:t>
      </w:r>
      <w:r w:rsidRPr="00C06804">
        <w:rPr>
          <w:color w:val="FF0000"/>
          <w:sz w:val="28"/>
          <w:szCs w:val="28"/>
        </w:rPr>
        <w:t xml:space="preserve">, </w:t>
      </w:r>
      <w:r>
        <w:rPr>
          <w:color w:val="FF0000"/>
          <w:sz w:val="28"/>
          <w:szCs w:val="28"/>
        </w:rPr>
        <w:t xml:space="preserve">contribute </w:t>
      </w:r>
      <w:r w:rsidRPr="00C06804">
        <w:rPr>
          <w:color w:val="FF0000"/>
          <w:sz w:val="28"/>
          <w:szCs w:val="28"/>
        </w:rPr>
        <w:t xml:space="preserve"> to the total asymmetry width </w:t>
      </w:r>
      <w:r>
        <w:rPr>
          <w:color w:val="FF0000"/>
          <w:sz w:val="28"/>
          <w:szCs w:val="28"/>
        </w:rPr>
        <w:t xml:space="preserve">and </w:t>
      </w:r>
      <w:r w:rsidRPr="00C06804">
        <w:rPr>
          <w:color w:val="FF0000"/>
          <w:sz w:val="28"/>
          <w:szCs w:val="28"/>
        </w:rPr>
        <w:t>can ruin the statistical reach of the flux integration technique</w:t>
      </w:r>
      <w:r>
        <w:rPr>
          <w:color w:val="FF0000"/>
          <w:sz w:val="28"/>
          <w:szCs w:val="28"/>
        </w:rPr>
        <w:t xml:space="preserve">. </w:t>
      </w:r>
    </w:p>
    <w:p w14:paraId="17452426" w14:textId="77777777" w:rsidR="00C06804" w:rsidRDefault="00C06804" w:rsidP="00C06804">
      <w:pPr>
        <w:ind w:left="1440"/>
        <w:contextualSpacing/>
        <w:jc w:val="both"/>
        <w:rPr>
          <w:color w:val="FF0000"/>
          <w:sz w:val="28"/>
          <w:szCs w:val="28"/>
        </w:rPr>
      </w:pPr>
      <w:r>
        <w:rPr>
          <w:color w:val="FF0000"/>
          <w:sz w:val="28"/>
          <w:szCs w:val="28"/>
        </w:rPr>
        <w:t xml:space="preserve">Is this understanding correct? </w:t>
      </w:r>
    </w:p>
    <w:p w14:paraId="52887BD4" w14:textId="77777777" w:rsidR="00C06804" w:rsidRPr="003D7165" w:rsidRDefault="00C06804" w:rsidP="00C06804">
      <w:pPr>
        <w:ind w:left="1440"/>
        <w:contextualSpacing/>
        <w:jc w:val="both"/>
        <w:rPr>
          <w:color w:val="FF0000"/>
          <w:sz w:val="28"/>
          <w:szCs w:val="28"/>
        </w:rPr>
      </w:pPr>
      <w:r>
        <w:rPr>
          <w:color w:val="FF0000"/>
          <w:sz w:val="28"/>
          <w:szCs w:val="28"/>
        </w:rPr>
        <w:t>Will a large transverse beam size at the target help to suppress density fluctuation caused by beam transverse jitter?)</w:t>
      </w:r>
    </w:p>
    <w:p w14:paraId="59034C6E" w14:textId="77777777" w:rsidR="003D7165" w:rsidRDefault="003D7165" w:rsidP="003D7165">
      <w:pPr>
        <w:numPr>
          <w:ilvl w:val="1"/>
          <w:numId w:val="1"/>
        </w:numPr>
        <w:contextualSpacing/>
        <w:jc w:val="both"/>
        <w:rPr>
          <w:sz w:val="28"/>
          <w:szCs w:val="28"/>
        </w:rPr>
      </w:pPr>
      <w:r w:rsidRPr="003D7165">
        <w:rPr>
          <w:sz w:val="28"/>
          <w:szCs w:val="28"/>
        </w:rPr>
        <w:t>Drift: this is a change in beam energy on the time scale of second or more. The main adverse effect of energy drift is that it changes the spin precession in the accelerator such that the beam polarization is no more purely longitudinal. An energy drift of 1 MeV would change the spin direction by 2 degrees. Maintaining a constant beam energy is crucial to MOLLER. To that end, MOLLER is planning to apply a feedback on the polarization direction by changing the initial spin direction of the electron beam before injection into the accelerator. Nevertheless, ensuring that the energy is stable with no drifts is very beneficial.</w:t>
      </w:r>
    </w:p>
    <w:p w14:paraId="6E97FEAF" w14:textId="77777777" w:rsidR="00B35835" w:rsidRDefault="00B35835" w:rsidP="00B35835">
      <w:pPr>
        <w:ind w:left="1440"/>
        <w:contextualSpacing/>
        <w:jc w:val="both"/>
        <w:rPr>
          <w:color w:val="FF0000"/>
          <w:sz w:val="28"/>
          <w:szCs w:val="28"/>
        </w:rPr>
      </w:pPr>
      <w:r w:rsidRPr="00B35835">
        <w:rPr>
          <w:color w:val="FF0000"/>
          <w:sz w:val="28"/>
          <w:szCs w:val="28"/>
        </w:rPr>
        <w:t>(So, this slow drift of the polarization is caused by the slow drift of the beam’s energy. The maximum possible slow drift range of energy is 1 MeV, see statement about BLM trip in transient section. The maximum possible slow drift range of spin direction is 2 degrees)</w:t>
      </w:r>
    </w:p>
    <w:p w14:paraId="16CC2E11" w14:textId="77777777" w:rsidR="00AC2819" w:rsidRDefault="00AC2819" w:rsidP="00B35835">
      <w:pPr>
        <w:ind w:left="1440"/>
        <w:contextualSpacing/>
        <w:jc w:val="both"/>
        <w:rPr>
          <w:color w:val="FF0000"/>
          <w:sz w:val="28"/>
          <w:szCs w:val="28"/>
        </w:rPr>
      </w:pPr>
    </w:p>
    <w:p w14:paraId="3BF42E22" w14:textId="1110861F" w:rsidR="00AC2819" w:rsidRDefault="00AC2819" w:rsidP="00B35835">
      <w:pPr>
        <w:ind w:left="1440"/>
        <w:contextualSpacing/>
        <w:jc w:val="both"/>
        <w:rPr>
          <w:color w:val="FF0000"/>
          <w:sz w:val="28"/>
          <w:szCs w:val="28"/>
        </w:rPr>
      </w:pPr>
      <w:r>
        <w:rPr>
          <w:color w:val="FF0000"/>
          <w:sz w:val="28"/>
          <w:szCs w:val="28"/>
        </w:rPr>
        <w:t>(Can we localize from where the drift comes in (thermal drift in klystron stuff or cryogenic fluctuations?)</w:t>
      </w:r>
    </w:p>
    <w:p w14:paraId="581280E6" w14:textId="77777777" w:rsidR="00B35835" w:rsidRDefault="00B35835" w:rsidP="00B35835">
      <w:pPr>
        <w:ind w:left="1440"/>
        <w:contextualSpacing/>
        <w:jc w:val="both"/>
        <w:rPr>
          <w:color w:val="FF0000"/>
          <w:sz w:val="28"/>
          <w:szCs w:val="28"/>
        </w:rPr>
      </w:pPr>
    </w:p>
    <w:p w14:paraId="58E7E52C" w14:textId="77777777" w:rsidR="00B35835" w:rsidRPr="003D7165" w:rsidRDefault="00B35835" w:rsidP="00B35835">
      <w:pPr>
        <w:ind w:left="1440"/>
        <w:contextualSpacing/>
        <w:jc w:val="both"/>
        <w:rPr>
          <w:color w:val="FF0000"/>
          <w:sz w:val="28"/>
          <w:szCs w:val="28"/>
        </w:rPr>
      </w:pPr>
      <w:r>
        <w:rPr>
          <w:color w:val="FF0000"/>
          <w:sz w:val="28"/>
          <w:szCs w:val="28"/>
        </w:rPr>
        <w:t>(more details of the cause of the energy slow drift needs to be collected. )</w:t>
      </w:r>
    </w:p>
    <w:p w14:paraId="534FBF38" w14:textId="77777777" w:rsidR="003D7165" w:rsidRDefault="003D7165" w:rsidP="008B4AC7">
      <w:pPr>
        <w:jc w:val="both"/>
        <w:rPr>
          <w:sz w:val="28"/>
          <w:szCs w:val="28"/>
        </w:rPr>
      </w:pPr>
    </w:p>
    <w:p w14:paraId="3567B950" w14:textId="77777777" w:rsidR="003D7165" w:rsidRDefault="003D7165" w:rsidP="008B4AC7">
      <w:pPr>
        <w:jc w:val="both"/>
        <w:rPr>
          <w:sz w:val="28"/>
          <w:szCs w:val="28"/>
        </w:rPr>
      </w:pPr>
    </w:p>
    <w:p w14:paraId="673CF01A" w14:textId="77777777" w:rsidR="00FD6234" w:rsidRDefault="00FD6234"/>
    <w:sectPr w:rsidR="00FD623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A00002EF" w:usb1="4000207B" w:usb2="00000000" w:usb3="00000000" w:csb0="0000009F" w:csb1="00000000"/>
  </w:font>
  <w:font w:name="DengXian">
    <w:altName w:val="等线"/>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C571B3"/>
    <w:multiLevelType w:val="hybridMultilevel"/>
    <w:tmpl w:val="63308C3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718F"/>
    <w:rsid w:val="000B718F"/>
    <w:rsid w:val="002A49EB"/>
    <w:rsid w:val="003D7165"/>
    <w:rsid w:val="00411024"/>
    <w:rsid w:val="008B4AC7"/>
    <w:rsid w:val="00A5208D"/>
    <w:rsid w:val="00AC2819"/>
    <w:rsid w:val="00B35835"/>
    <w:rsid w:val="00C06804"/>
    <w:rsid w:val="00F93D73"/>
    <w:rsid w:val="00FA500F"/>
    <w:rsid w:val="00FD62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77B3E2"/>
  <w15:chartTrackingRefBased/>
  <w15:docId w15:val="{F6EACD63-D76A-4257-B52A-EAAC45FE67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B4AC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B4AC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904</Words>
  <Characters>5153</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JLAB</Company>
  <LinksUpToDate>false</LinksUpToDate>
  <CharactersWithSpaces>6045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Shaoheng Wang</dc:creator>
  <cp:keywords/>
  <dc:description/>
  <cp:lastModifiedBy>Shaoheng Wang</cp:lastModifiedBy>
  <cp:revision>2</cp:revision>
  <dcterms:created xsi:type="dcterms:W3CDTF">2025-01-14T23:54:00Z</dcterms:created>
  <dcterms:modified xsi:type="dcterms:W3CDTF">2025-01-14T23:54:00Z</dcterms:modified>
</cp:coreProperties>
</file>