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DD9" w:rsidRPr="00CA4CC3" w:rsidRDefault="00424DD9" w:rsidP="00CE1B05">
      <w:pPr>
        <w:pStyle w:val="NoSpacing"/>
        <w:rPr>
          <w:vertAlign w:val="subscript"/>
        </w:rPr>
      </w:pPr>
    </w:p>
    <w:p w:rsidR="00A124AA" w:rsidRPr="00572849" w:rsidRDefault="008C2FCC" w:rsidP="008C2FCC">
      <w:pPr>
        <w:pStyle w:val="NoSpacing"/>
        <w:jc w:val="center"/>
        <w:rPr>
          <w:b/>
          <w:sz w:val="32"/>
        </w:rPr>
      </w:pPr>
      <w:r w:rsidRPr="00572849">
        <w:rPr>
          <w:b/>
          <w:sz w:val="32"/>
        </w:rPr>
        <w:t xml:space="preserve">Summary of the </w:t>
      </w:r>
      <w:r w:rsidR="00CD0789" w:rsidRPr="00572849">
        <w:rPr>
          <w:b/>
          <w:sz w:val="32"/>
        </w:rPr>
        <w:t xml:space="preserve">Transverse </w:t>
      </w:r>
      <w:r w:rsidR="00980921" w:rsidRPr="00572849">
        <w:rPr>
          <w:b/>
          <w:sz w:val="32"/>
        </w:rPr>
        <w:t xml:space="preserve">Beam Characterization </w:t>
      </w:r>
      <w:bookmarkStart w:id="0" w:name="_GoBack"/>
      <w:bookmarkEnd w:id="0"/>
      <w:r w:rsidRPr="00572849">
        <w:rPr>
          <w:b/>
          <w:sz w:val="32"/>
        </w:rPr>
        <w:t xml:space="preserve">Measurements </w:t>
      </w:r>
      <w:r w:rsidR="00980921" w:rsidRPr="00572849">
        <w:rPr>
          <w:b/>
          <w:sz w:val="32"/>
        </w:rPr>
        <w:t xml:space="preserve">in the </w:t>
      </w:r>
      <w:r w:rsidR="00CD0789" w:rsidRPr="00572849">
        <w:rPr>
          <w:b/>
          <w:sz w:val="32"/>
        </w:rPr>
        <w:t>CEBAF 5 MeV Region</w:t>
      </w:r>
      <w:r w:rsidRPr="00572849">
        <w:rPr>
          <w:b/>
          <w:sz w:val="32"/>
        </w:rPr>
        <w:t>: 2014-2015</w:t>
      </w:r>
    </w:p>
    <w:p w:rsidR="00913501" w:rsidRPr="00572849" w:rsidRDefault="00913501" w:rsidP="003F4E72"/>
    <w:p w:rsidR="00913501" w:rsidRPr="00572849" w:rsidRDefault="00913501" w:rsidP="00FE01DA">
      <w:pPr>
        <w:jc w:val="center"/>
        <w:rPr>
          <w:i/>
        </w:rPr>
      </w:pPr>
      <w:r w:rsidRPr="00572849">
        <w:rPr>
          <w:i/>
        </w:rPr>
        <w:t>C. Tennant</w:t>
      </w:r>
      <w:r w:rsidR="00CD0789" w:rsidRPr="00572849">
        <w:rPr>
          <w:i/>
        </w:rPr>
        <w:t xml:space="preserve">, J. Grames, </w:t>
      </w:r>
      <w:r w:rsidR="00EC65D5" w:rsidRPr="00572849">
        <w:rPr>
          <w:i/>
        </w:rPr>
        <w:t xml:space="preserve">D. Moser, </w:t>
      </w:r>
      <w:r w:rsidR="00CD0789" w:rsidRPr="00572849">
        <w:rPr>
          <w:i/>
        </w:rPr>
        <w:t>R. Sulei</w:t>
      </w:r>
      <w:r w:rsidR="000B2E3D" w:rsidRPr="00572849">
        <w:rPr>
          <w:i/>
        </w:rPr>
        <w:t xml:space="preserve">man, </w:t>
      </w:r>
      <w:r w:rsidR="00EC65D5" w:rsidRPr="00572849">
        <w:rPr>
          <w:i/>
        </w:rPr>
        <w:t xml:space="preserve">M. Tiefenback, </w:t>
      </w:r>
      <w:r w:rsidR="000B2E3D" w:rsidRPr="00572849">
        <w:rPr>
          <w:i/>
        </w:rPr>
        <w:t>D. Turner</w:t>
      </w:r>
    </w:p>
    <w:p w:rsidR="006677C2" w:rsidRPr="00572849" w:rsidRDefault="006677C2" w:rsidP="00C60B0F">
      <w:pPr>
        <w:rPr>
          <w:b/>
          <w:sz w:val="28"/>
          <w:szCs w:val="28"/>
        </w:rPr>
      </w:pPr>
    </w:p>
    <w:p w:rsidR="00913501" w:rsidRPr="00572849" w:rsidRDefault="00913501" w:rsidP="00C60B0F">
      <w:pPr>
        <w:rPr>
          <w:b/>
          <w:sz w:val="28"/>
          <w:szCs w:val="28"/>
        </w:rPr>
      </w:pPr>
      <w:r w:rsidRPr="00572849">
        <w:rPr>
          <w:b/>
          <w:sz w:val="28"/>
          <w:szCs w:val="28"/>
        </w:rPr>
        <w:t>Abstract</w:t>
      </w:r>
    </w:p>
    <w:p w:rsidR="00C60B0F" w:rsidRPr="00572849" w:rsidRDefault="00C60B0F" w:rsidP="00C60B0F"/>
    <w:p w:rsidR="003B4A41" w:rsidRPr="00572849" w:rsidRDefault="00702F3E" w:rsidP="008F6A8A">
      <w:pPr>
        <w:ind w:firstLine="360"/>
        <w:jc w:val="both"/>
        <w:rPr>
          <w:sz w:val="20"/>
        </w:rPr>
      </w:pPr>
      <w:r w:rsidRPr="00572849">
        <w:rPr>
          <w:sz w:val="20"/>
        </w:rPr>
        <w:t xml:space="preserve">In this note we summarize </w:t>
      </w:r>
      <w:r w:rsidR="008F6A8A" w:rsidRPr="00572849">
        <w:rPr>
          <w:sz w:val="20"/>
        </w:rPr>
        <w:t xml:space="preserve">the results of </w:t>
      </w:r>
      <w:r w:rsidRPr="00572849">
        <w:rPr>
          <w:sz w:val="20"/>
        </w:rPr>
        <w:t xml:space="preserve">multiple </w:t>
      </w:r>
      <w:r w:rsidR="009803E7" w:rsidRPr="00572849">
        <w:rPr>
          <w:sz w:val="20"/>
        </w:rPr>
        <w:t>quadrupole scan measurement</w:t>
      </w:r>
      <w:r w:rsidRPr="00572849">
        <w:rPr>
          <w:sz w:val="20"/>
        </w:rPr>
        <w:t xml:space="preserve">s in the 5 MeV region of CEBAF. During 2014 and 2015 </w:t>
      </w:r>
      <w:r w:rsidR="008E3CC4" w:rsidRPr="00572849">
        <w:rPr>
          <w:sz w:val="20"/>
        </w:rPr>
        <w:t xml:space="preserve">several </w:t>
      </w:r>
      <w:r w:rsidRPr="00572849">
        <w:rPr>
          <w:sz w:val="20"/>
        </w:rPr>
        <w:t>opportunities</w:t>
      </w:r>
      <w:r w:rsidR="008E3CC4" w:rsidRPr="00572849">
        <w:rPr>
          <w:sz w:val="20"/>
        </w:rPr>
        <w:t xml:space="preserve"> arose</w:t>
      </w:r>
      <w:r w:rsidRPr="00572849">
        <w:rPr>
          <w:sz w:val="20"/>
        </w:rPr>
        <w:t xml:space="preserve"> to characterize the transverse propertie</w:t>
      </w:r>
      <w:r w:rsidR="008D7443" w:rsidRPr="00572849">
        <w:rPr>
          <w:sz w:val="20"/>
        </w:rPr>
        <w:t>s (emittances, Twiss parameters)</w:t>
      </w:r>
      <w:r w:rsidRPr="00572849">
        <w:rPr>
          <w:sz w:val="20"/>
        </w:rPr>
        <w:t>. The goal of this note is to document the results to date, not nece</w:t>
      </w:r>
      <w:r w:rsidR="00443A8D" w:rsidRPr="00572849">
        <w:rPr>
          <w:sz w:val="20"/>
        </w:rPr>
        <w:t>ssarily to explain the trends</w:t>
      </w:r>
      <w:r w:rsidRPr="00572849">
        <w:rPr>
          <w:sz w:val="20"/>
        </w:rPr>
        <w:t xml:space="preserve">. </w:t>
      </w:r>
      <w:r w:rsidR="00F36333" w:rsidRPr="00572849">
        <w:rPr>
          <w:sz w:val="20"/>
        </w:rPr>
        <w:t xml:space="preserve">Indeed between </w:t>
      </w:r>
      <w:r w:rsidR="0053076D" w:rsidRPr="00572849">
        <w:rPr>
          <w:sz w:val="20"/>
        </w:rPr>
        <w:t xml:space="preserve">February and September 2015 the data suggests </w:t>
      </w:r>
      <w:r w:rsidR="00383089" w:rsidRPr="00572849">
        <w:rPr>
          <w:sz w:val="20"/>
        </w:rPr>
        <w:t>“</w:t>
      </w:r>
      <w:r w:rsidR="0053076D" w:rsidRPr="00572849">
        <w:rPr>
          <w:sz w:val="20"/>
        </w:rPr>
        <w:t>something</w:t>
      </w:r>
      <w:r w:rsidR="00383089" w:rsidRPr="00572849">
        <w:rPr>
          <w:sz w:val="20"/>
        </w:rPr>
        <w:t xml:space="preserve">” – yet to be identified - </w:t>
      </w:r>
      <w:r w:rsidR="00EE2418" w:rsidRPr="00572849">
        <w:rPr>
          <w:sz w:val="20"/>
        </w:rPr>
        <w:t>had</w:t>
      </w:r>
      <w:r w:rsidR="0053076D" w:rsidRPr="00572849">
        <w:rPr>
          <w:sz w:val="20"/>
        </w:rPr>
        <w:t xml:space="preserve"> changed in the front end. </w:t>
      </w:r>
      <w:r w:rsidRPr="00572849">
        <w:rPr>
          <w:sz w:val="20"/>
        </w:rPr>
        <w:t xml:space="preserve">In addition to having measurements at one location in CEBAF over a period of time, these measurements were, at times, performed as a function of momentum, which may provide further insight </w:t>
      </w:r>
      <w:r w:rsidR="00443A8D" w:rsidRPr="00572849">
        <w:rPr>
          <w:sz w:val="20"/>
        </w:rPr>
        <w:t xml:space="preserve">into </w:t>
      </w:r>
      <w:r w:rsidRPr="00572849">
        <w:rPr>
          <w:sz w:val="20"/>
        </w:rPr>
        <w:t xml:space="preserve">the beam </w:t>
      </w:r>
      <w:r w:rsidR="00383089" w:rsidRPr="00572849">
        <w:rPr>
          <w:sz w:val="20"/>
        </w:rPr>
        <w:t>formation process</w:t>
      </w:r>
      <w:r w:rsidRPr="00572849">
        <w:rPr>
          <w:sz w:val="20"/>
        </w:rPr>
        <w:t>.</w:t>
      </w:r>
    </w:p>
    <w:p w:rsidR="00C60B0F" w:rsidRPr="00572849" w:rsidRDefault="00C60B0F" w:rsidP="003F4E72"/>
    <w:p w:rsidR="008B75BA" w:rsidRPr="00572849" w:rsidRDefault="008B75BA" w:rsidP="003F4E72">
      <w:pPr>
        <w:rPr>
          <w:b/>
          <w:sz w:val="28"/>
          <w:szCs w:val="28"/>
        </w:rPr>
      </w:pPr>
      <w:r w:rsidRPr="00572849">
        <w:rPr>
          <w:b/>
          <w:sz w:val="28"/>
          <w:szCs w:val="28"/>
        </w:rPr>
        <w:t>Introduction</w:t>
      </w:r>
    </w:p>
    <w:p w:rsidR="008B75BA" w:rsidRPr="00572849" w:rsidRDefault="008B75BA" w:rsidP="003F4E72"/>
    <w:p w:rsidR="00520327" w:rsidRPr="00572849" w:rsidRDefault="003D2642" w:rsidP="00CC5747">
      <w:pPr>
        <w:ind w:firstLine="360"/>
        <w:jc w:val="both"/>
      </w:pPr>
      <w:r w:rsidRPr="00572849">
        <w:t>Having a good understanding of the beam dynamics in the 5 MeV region – from the exit of the captur</w:t>
      </w:r>
      <w:r w:rsidR="002004E7" w:rsidRPr="00572849">
        <w:t>e to the entrance of cryomodule</w:t>
      </w:r>
      <w:r w:rsidRPr="00572849">
        <w:t xml:space="preserve"> 0L03 – is vitally important. </w:t>
      </w:r>
      <w:r w:rsidR="006822C4" w:rsidRPr="00572849">
        <w:t xml:space="preserve">The cryounit </w:t>
      </w:r>
      <w:r w:rsidR="004557B0" w:rsidRPr="00572849">
        <w:t>marks the hand off of</w:t>
      </w:r>
      <w:r w:rsidR="00CC5747" w:rsidRPr="00572849">
        <w:t xml:space="preserve"> the low energy</w:t>
      </w:r>
      <w:r w:rsidR="006822C4" w:rsidRPr="00572849">
        <w:t xml:space="preserve"> beamline</w:t>
      </w:r>
      <w:r w:rsidR="00CC5747" w:rsidRPr="00572849">
        <w:t>,</w:t>
      </w:r>
      <w:r w:rsidR="006822C4" w:rsidRPr="00572849">
        <w:t xml:space="preserve"> owned and modeled by the injector group using space charge codes </w:t>
      </w:r>
      <w:r w:rsidR="004557B0" w:rsidRPr="00572849">
        <w:t xml:space="preserve">to </w:t>
      </w:r>
      <w:r w:rsidR="006822C4" w:rsidRPr="00572849">
        <w:t xml:space="preserve">the relativistic, </w:t>
      </w:r>
      <w:r w:rsidR="006822C4" w:rsidRPr="00572849">
        <w:rPr>
          <w:i/>
        </w:rPr>
        <w:t>elegant</w:t>
      </w:r>
      <w:r w:rsidR="006822C4" w:rsidRPr="00572849">
        <w:t>-driven [</w:t>
      </w:r>
      <w:r w:rsidR="004C2C6C" w:rsidRPr="00572849">
        <w:t>1</w:t>
      </w:r>
      <w:r w:rsidR="006822C4" w:rsidRPr="00572849">
        <w:t xml:space="preserve">] modeling </w:t>
      </w:r>
      <w:r w:rsidR="002D165D" w:rsidRPr="00572849">
        <w:t xml:space="preserve">done </w:t>
      </w:r>
      <w:r w:rsidR="006822C4" w:rsidRPr="00572849">
        <w:t>in CASA.</w:t>
      </w:r>
      <w:r w:rsidR="002D165D" w:rsidRPr="00572849">
        <w:t xml:space="preserve"> Additionally, the </w:t>
      </w:r>
      <w:r w:rsidR="00852566" w:rsidRPr="00572849">
        <w:t xml:space="preserve">5D line in this </w:t>
      </w:r>
      <w:r w:rsidR="002D165D" w:rsidRPr="00572849">
        <w:t xml:space="preserve">region </w:t>
      </w:r>
      <w:r w:rsidR="00D034E1" w:rsidRPr="00572849">
        <w:t>successfully supported the</w:t>
      </w:r>
      <w:r w:rsidR="002D165D" w:rsidRPr="00572849">
        <w:t xml:space="preserve"> Polarized Electrons for Polarized Positrons (PEPPo) experiment [</w:t>
      </w:r>
      <w:r w:rsidR="004C2C6C" w:rsidRPr="00572849">
        <w:t>2</w:t>
      </w:r>
      <w:r w:rsidR="002D165D" w:rsidRPr="00572849">
        <w:t xml:space="preserve">] and </w:t>
      </w:r>
      <w:r w:rsidR="00537601" w:rsidRPr="00572849">
        <w:t>the</w:t>
      </w:r>
      <w:r w:rsidR="002D165D" w:rsidRPr="00572849">
        <w:t xml:space="preserve"> Bubble Chamber experiment [</w:t>
      </w:r>
      <w:r w:rsidR="004C2C6C" w:rsidRPr="00572849">
        <w:t>3</w:t>
      </w:r>
      <w:r w:rsidR="002D165D" w:rsidRPr="00572849">
        <w:t>]</w:t>
      </w:r>
      <w:r w:rsidR="00D20665" w:rsidRPr="00572849">
        <w:t xml:space="preserve"> </w:t>
      </w:r>
      <w:r w:rsidR="00FA08D4" w:rsidRPr="00572849">
        <w:t>–</w:t>
      </w:r>
      <w:r w:rsidR="00964C55" w:rsidRPr="00572849">
        <w:t xml:space="preserve"> both of which require an accurate characterization</w:t>
      </w:r>
      <w:r w:rsidR="002004E7" w:rsidRPr="00572849">
        <w:t xml:space="preserve"> of</w:t>
      </w:r>
      <w:r w:rsidR="00292918" w:rsidRPr="00572849">
        <w:t xml:space="preserve"> the beam properties</w:t>
      </w:r>
      <w:r w:rsidR="00CC5747" w:rsidRPr="00572849">
        <w:t>.</w:t>
      </w:r>
    </w:p>
    <w:p w:rsidR="00D423DE" w:rsidRPr="00572849" w:rsidRDefault="00D423DE" w:rsidP="00CC5747">
      <w:pPr>
        <w:jc w:val="both"/>
        <w:rPr>
          <w:szCs w:val="28"/>
        </w:rPr>
      </w:pPr>
    </w:p>
    <w:p w:rsidR="00F27AFE" w:rsidRPr="00572849" w:rsidRDefault="00F27AFE" w:rsidP="00F27AFE">
      <w:pPr>
        <w:jc w:val="both"/>
        <w:rPr>
          <w:b/>
          <w:sz w:val="28"/>
          <w:szCs w:val="28"/>
        </w:rPr>
      </w:pPr>
      <w:r w:rsidRPr="00572849">
        <w:rPr>
          <w:b/>
          <w:sz w:val="28"/>
          <w:szCs w:val="28"/>
        </w:rPr>
        <w:t>Measurement</w:t>
      </w:r>
      <w:r w:rsidR="008F6CB2" w:rsidRPr="00572849">
        <w:rPr>
          <w:b/>
          <w:sz w:val="28"/>
          <w:szCs w:val="28"/>
        </w:rPr>
        <w:t>s</w:t>
      </w:r>
    </w:p>
    <w:p w:rsidR="00F05456" w:rsidRPr="00572849" w:rsidRDefault="00F05456" w:rsidP="00FE01DA">
      <w:pPr>
        <w:jc w:val="both"/>
      </w:pPr>
    </w:p>
    <w:p w:rsidR="008C2607" w:rsidRPr="00572849" w:rsidRDefault="008C2607" w:rsidP="0091509C">
      <w:pPr>
        <w:ind w:firstLine="360"/>
        <w:jc w:val="both"/>
        <w:rPr>
          <w:szCs w:val="28"/>
        </w:rPr>
      </w:pPr>
      <w:r w:rsidRPr="00572849">
        <w:rPr>
          <w:szCs w:val="28"/>
        </w:rPr>
        <w:t>A schematic of a portion of the 5 MeV region is depicted in Figure 1. With a harp at 0L03 it remains to find what upstream quadrupole is best suited for scanning. The quadrupoles at 0L03 and 0</w:t>
      </w:r>
      <w:r w:rsidR="0091509C" w:rsidRPr="00572849">
        <w:rPr>
          <w:szCs w:val="28"/>
        </w:rPr>
        <w:t>L03A are too close to the harp</w:t>
      </w:r>
      <w:r w:rsidR="00AD0DF7" w:rsidRPr="00572849">
        <w:rPr>
          <w:szCs w:val="28"/>
        </w:rPr>
        <w:t xml:space="preserve">, while </w:t>
      </w:r>
      <w:r w:rsidR="0091509C" w:rsidRPr="00572849">
        <w:rPr>
          <w:szCs w:val="28"/>
        </w:rPr>
        <w:t xml:space="preserve">simulations </w:t>
      </w:r>
      <w:r w:rsidR="00AD0DF7" w:rsidRPr="00572849">
        <w:rPr>
          <w:szCs w:val="28"/>
        </w:rPr>
        <w:t>show the best performance i</w:t>
      </w:r>
      <w:r w:rsidR="0091509C" w:rsidRPr="00572849">
        <w:rPr>
          <w:szCs w:val="28"/>
        </w:rPr>
        <w:t>s achieved using quadrupole MQJ0L02. Until the last set of measurements in September 2015, MQJ0L02 was scanned</w:t>
      </w:r>
      <w:r w:rsidRPr="00572849">
        <w:rPr>
          <w:szCs w:val="28"/>
        </w:rPr>
        <w:t xml:space="preserve"> with downstream quadrupoles turned </w:t>
      </w:r>
      <w:r w:rsidRPr="00572849">
        <w:rPr>
          <w:i/>
          <w:szCs w:val="28"/>
        </w:rPr>
        <w:t>off</w:t>
      </w:r>
      <w:r w:rsidR="0091509C" w:rsidRPr="00572849">
        <w:rPr>
          <w:i/>
          <w:szCs w:val="28"/>
        </w:rPr>
        <w:t xml:space="preserve"> </w:t>
      </w:r>
      <w:r w:rsidR="0091509C" w:rsidRPr="00572849">
        <w:rPr>
          <w:szCs w:val="28"/>
        </w:rPr>
        <w:t>which</w:t>
      </w:r>
      <w:r w:rsidRPr="00572849">
        <w:rPr>
          <w:szCs w:val="28"/>
        </w:rPr>
        <w:t xml:space="preserve"> amounts to a simple quad-drift scan with a drift length of 6.629806 m from the exit of </w:t>
      </w:r>
      <w:r w:rsidR="004931A6" w:rsidRPr="00572849">
        <w:rPr>
          <w:szCs w:val="28"/>
        </w:rPr>
        <w:t>MQJ</w:t>
      </w:r>
      <w:r w:rsidRPr="00572849">
        <w:rPr>
          <w:szCs w:val="28"/>
        </w:rPr>
        <w:t>0L02 to the harp (IHA0L0</w:t>
      </w:r>
      <w:r w:rsidR="0091509C" w:rsidRPr="00572849">
        <w:rPr>
          <w:szCs w:val="28"/>
        </w:rPr>
        <w:t>3). Furthermore, both planes were</w:t>
      </w:r>
      <w:r w:rsidRPr="00572849">
        <w:rPr>
          <w:szCs w:val="28"/>
        </w:rPr>
        <w:t xml:space="preserve"> scanned si</w:t>
      </w:r>
      <w:r w:rsidR="00643D18" w:rsidRPr="00572849">
        <w:rPr>
          <w:szCs w:val="28"/>
        </w:rPr>
        <w:t>multaneously. However</w:t>
      </w:r>
      <w:r w:rsidR="004931A6" w:rsidRPr="00572849">
        <w:rPr>
          <w:szCs w:val="28"/>
        </w:rPr>
        <w:t xml:space="preserve"> </w:t>
      </w:r>
      <w:r w:rsidR="00AD0DF7" w:rsidRPr="00572849">
        <w:rPr>
          <w:szCs w:val="28"/>
        </w:rPr>
        <w:t xml:space="preserve">for </w:t>
      </w:r>
      <w:r w:rsidR="004931A6" w:rsidRPr="00572849">
        <w:rPr>
          <w:szCs w:val="28"/>
        </w:rPr>
        <w:t>the measurements made in support of the Bubble Chamber experiment in early September</w:t>
      </w:r>
      <w:r w:rsidR="00AD0DF7" w:rsidRPr="00572849">
        <w:rPr>
          <w:szCs w:val="28"/>
        </w:rPr>
        <w:t xml:space="preserve"> 2015</w:t>
      </w:r>
      <w:r w:rsidR="004931A6" w:rsidRPr="00572849">
        <w:rPr>
          <w:szCs w:val="28"/>
        </w:rPr>
        <w:t>, the nominal scan range of MQJ0L02 failed to produce a beam waist in either plane. Because we were utilizing the zig-zag method of data acquisition [</w:t>
      </w:r>
      <w:r w:rsidR="000507D9" w:rsidRPr="00572849">
        <w:rPr>
          <w:szCs w:val="28"/>
        </w:rPr>
        <w:t>4</w:t>
      </w:r>
      <w:r w:rsidR="004931A6" w:rsidRPr="00572849">
        <w:rPr>
          <w:szCs w:val="28"/>
        </w:rPr>
        <w:t xml:space="preserve">] each plane is scanned separately and new </w:t>
      </w:r>
      <w:r w:rsidR="00AD0DF7" w:rsidRPr="00572849">
        <w:rPr>
          <w:szCs w:val="28"/>
        </w:rPr>
        <w:t xml:space="preserve">scan </w:t>
      </w:r>
      <w:r w:rsidR="004931A6" w:rsidRPr="00572849">
        <w:rPr>
          <w:szCs w:val="28"/>
        </w:rPr>
        <w:t>ranges w</w:t>
      </w:r>
      <w:r w:rsidR="00AD0DF7" w:rsidRPr="00572849">
        <w:rPr>
          <w:szCs w:val="28"/>
        </w:rPr>
        <w:t>ere implemented</w:t>
      </w:r>
      <w:r w:rsidR="004931A6" w:rsidRPr="00572849">
        <w:rPr>
          <w:szCs w:val="28"/>
        </w:rPr>
        <w:t>. Additionally we found it necessary to keep the quadrupole at MQJ0L02A (downstream of the scanning quad) on at a set field during the measurement.</w:t>
      </w:r>
      <w:r w:rsidR="009A4E65" w:rsidRPr="00572849">
        <w:rPr>
          <w:szCs w:val="28"/>
        </w:rPr>
        <w:t xml:space="preserve"> </w:t>
      </w:r>
    </w:p>
    <w:p w:rsidR="008C2607" w:rsidRPr="00572849" w:rsidRDefault="008C2607" w:rsidP="00FE01DA">
      <w:pPr>
        <w:jc w:val="both"/>
      </w:pPr>
    </w:p>
    <w:p w:rsidR="00D423DE" w:rsidRPr="00572849" w:rsidRDefault="00D423DE" w:rsidP="00D423DE">
      <w:pPr>
        <w:jc w:val="both"/>
      </w:pPr>
      <w:r w:rsidRPr="00572849">
        <w:rPr>
          <w:noProof/>
        </w:rPr>
        <w:lastRenderedPageBreak/>
        <w:drawing>
          <wp:inline distT="0" distB="0" distL="0" distR="0" wp14:anchorId="283889B0" wp14:editId="1C070034">
            <wp:extent cx="5486400" cy="2689148"/>
            <wp:effectExtent l="0" t="0" r="0" b="0"/>
            <wp:docPr id="1" name="Picture 1" descr="C:\Users\tennant\Desktop\IHA0L03_2014-02-19_16_35\Inje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nnant\Desktop\IHA0L03_2014-02-19_16_35\Injecto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2689148"/>
                    </a:xfrm>
                    <a:prstGeom prst="rect">
                      <a:avLst/>
                    </a:prstGeom>
                    <a:noFill/>
                    <a:ln>
                      <a:noFill/>
                    </a:ln>
                  </pic:spPr>
                </pic:pic>
              </a:graphicData>
            </a:graphic>
          </wp:inline>
        </w:drawing>
      </w:r>
    </w:p>
    <w:p w:rsidR="00D423DE" w:rsidRPr="00572849" w:rsidRDefault="00D423DE" w:rsidP="00D423DE">
      <w:pPr>
        <w:jc w:val="both"/>
        <w:rPr>
          <w:sz w:val="16"/>
        </w:rPr>
      </w:pPr>
    </w:p>
    <w:p w:rsidR="00D423DE" w:rsidRPr="00572849" w:rsidRDefault="00D423DE" w:rsidP="00D423DE">
      <w:pPr>
        <w:ind w:left="720" w:right="720"/>
        <w:jc w:val="both"/>
        <w:rPr>
          <w:sz w:val="20"/>
        </w:rPr>
      </w:pPr>
      <w:r w:rsidRPr="00572849">
        <w:rPr>
          <w:sz w:val="20"/>
        </w:rPr>
        <w:t>Figure 1: Schematic of the 5 MeV region showing the location of the scanning quadrupole (MQJ0L02) and harp (IHA0L03).</w:t>
      </w:r>
    </w:p>
    <w:p w:rsidR="00D423DE" w:rsidRPr="00572849" w:rsidRDefault="00D423DE" w:rsidP="00FE01DA">
      <w:pPr>
        <w:jc w:val="both"/>
      </w:pPr>
    </w:p>
    <w:p w:rsidR="00AD0DF7" w:rsidRPr="00572849" w:rsidRDefault="00AD0DF7" w:rsidP="00643D18">
      <w:pPr>
        <w:ind w:firstLine="360"/>
        <w:jc w:val="both"/>
      </w:pPr>
      <w:r w:rsidRPr="00572849">
        <w:t>A summary of the dates and measurements is given below with a detailed table of results shown in Table 1.</w:t>
      </w:r>
    </w:p>
    <w:p w:rsidR="00D423DE" w:rsidRPr="00572849" w:rsidRDefault="00D423DE" w:rsidP="00FE01DA">
      <w:pPr>
        <w:jc w:val="both"/>
      </w:pPr>
    </w:p>
    <w:p w:rsidR="00BB15FB" w:rsidRPr="00572849" w:rsidRDefault="00BB15FB" w:rsidP="00BB15FB">
      <w:pPr>
        <w:jc w:val="both"/>
        <w:rPr>
          <w:i/>
        </w:rPr>
      </w:pPr>
      <w:r w:rsidRPr="00572849">
        <w:rPr>
          <w:i/>
        </w:rPr>
        <w:t>February 19, 2014</w:t>
      </w:r>
    </w:p>
    <w:p w:rsidR="00BB15FB" w:rsidRPr="00572849" w:rsidRDefault="00167FC9" w:rsidP="00A0495E">
      <w:pPr>
        <w:pStyle w:val="ListParagraph"/>
        <w:numPr>
          <w:ilvl w:val="0"/>
          <w:numId w:val="7"/>
        </w:numPr>
        <w:jc w:val="both"/>
      </w:pPr>
      <w:r w:rsidRPr="00572849">
        <w:t>quadrupole scan at 5.5 MeV/c [</w:t>
      </w:r>
      <w:r w:rsidR="00140C74" w:rsidRPr="00572849">
        <w:t>5</w:t>
      </w:r>
      <w:r w:rsidRPr="00572849">
        <w:t>]</w:t>
      </w:r>
    </w:p>
    <w:p w:rsidR="00BB15FB" w:rsidRPr="00572849" w:rsidRDefault="00BB15FB" w:rsidP="00BB15FB">
      <w:pPr>
        <w:jc w:val="both"/>
      </w:pPr>
    </w:p>
    <w:p w:rsidR="00BB15FB" w:rsidRPr="00572849" w:rsidRDefault="00BB15FB" w:rsidP="00BB15FB">
      <w:pPr>
        <w:jc w:val="both"/>
        <w:rPr>
          <w:i/>
        </w:rPr>
      </w:pPr>
      <w:r w:rsidRPr="00572849">
        <w:rPr>
          <w:i/>
        </w:rPr>
        <w:t>April 3, 2014</w:t>
      </w:r>
    </w:p>
    <w:p w:rsidR="00BB15FB" w:rsidRPr="00572849" w:rsidRDefault="00167FC9" w:rsidP="00A0495E">
      <w:pPr>
        <w:pStyle w:val="ListParagraph"/>
        <w:numPr>
          <w:ilvl w:val="0"/>
          <w:numId w:val="7"/>
        </w:numPr>
        <w:jc w:val="both"/>
      </w:pPr>
      <w:r w:rsidRPr="00572849">
        <w:t>quadrupole scan</w:t>
      </w:r>
      <w:r w:rsidR="00BB15FB" w:rsidRPr="00572849">
        <w:t xml:space="preserve"> at 6.3 MeV/c</w:t>
      </w:r>
    </w:p>
    <w:p w:rsidR="00BB15FB" w:rsidRPr="00572849" w:rsidRDefault="00BB15FB" w:rsidP="00BB15FB">
      <w:pPr>
        <w:jc w:val="both"/>
      </w:pPr>
    </w:p>
    <w:p w:rsidR="00BB15FB" w:rsidRPr="00572849" w:rsidRDefault="00BB15FB" w:rsidP="00BB15FB">
      <w:pPr>
        <w:jc w:val="both"/>
        <w:rPr>
          <w:i/>
        </w:rPr>
      </w:pPr>
      <w:r w:rsidRPr="00572849">
        <w:rPr>
          <w:i/>
        </w:rPr>
        <w:t>April 18, 2014</w:t>
      </w:r>
    </w:p>
    <w:p w:rsidR="00C60513" w:rsidRPr="00572849" w:rsidRDefault="00167FC9" w:rsidP="00A0495E">
      <w:pPr>
        <w:pStyle w:val="ListParagraph"/>
        <w:numPr>
          <w:ilvl w:val="0"/>
          <w:numId w:val="7"/>
        </w:numPr>
        <w:jc w:val="both"/>
      </w:pPr>
      <w:r w:rsidRPr="00572849">
        <w:t>quadrupole scan</w:t>
      </w:r>
      <w:r w:rsidR="00C60513" w:rsidRPr="00572849">
        <w:t xml:space="preserve"> at 6.3 MeV/c</w:t>
      </w:r>
    </w:p>
    <w:p w:rsidR="00BB15FB" w:rsidRPr="00572849" w:rsidRDefault="00C92B2D" w:rsidP="00A0495E">
      <w:pPr>
        <w:pStyle w:val="ListParagraph"/>
        <w:numPr>
          <w:ilvl w:val="0"/>
          <w:numId w:val="7"/>
        </w:numPr>
        <w:jc w:val="both"/>
      </w:pPr>
      <w:r w:rsidRPr="00572849">
        <w:t xml:space="preserve">data </w:t>
      </w:r>
      <w:r w:rsidR="00C60513" w:rsidRPr="00572849">
        <w:t xml:space="preserve">was </w:t>
      </w:r>
      <w:r w:rsidRPr="00572849">
        <w:t>not analyzed</w:t>
      </w:r>
      <w:r w:rsidR="001B0696" w:rsidRPr="00572849">
        <w:t xml:space="preserve"> since</w:t>
      </w:r>
      <w:r w:rsidRPr="00572849">
        <w:t xml:space="preserve"> a more comprehensive set of measurements were taken the following day</w:t>
      </w:r>
    </w:p>
    <w:p w:rsidR="00BB15FB" w:rsidRPr="00572849" w:rsidRDefault="00BB15FB" w:rsidP="00BB15FB">
      <w:pPr>
        <w:jc w:val="both"/>
      </w:pPr>
    </w:p>
    <w:p w:rsidR="00BB15FB" w:rsidRPr="00572849" w:rsidRDefault="00BB15FB" w:rsidP="00BB15FB">
      <w:pPr>
        <w:jc w:val="both"/>
        <w:rPr>
          <w:i/>
        </w:rPr>
      </w:pPr>
      <w:r w:rsidRPr="00572849">
        <w:rPr>
          <w:i/>
        </w:rPr>
        <w:t>April 19, 2014</w:t>
      </w:r>
    </w:p>
    <w:p w:rsidR="00BB15FB" w:rsidRPr="00572849" w:rsidRDefault="00A0495E" w:rsidP="00A0495E">
      <w:pPr>
        <w:pStyle w:val="ListParagraph"/>
        <w:numPr>
          <w:ilvl w:val="0"/>
          <w:numId w:val="7"/>
        </w:numPr>
        <w:jc w:val="both"/>
      </w:pPr>
      <w:r w:rsidRPr="00572849">
        <w:t>quadrupole scans at (3.1,4.0,6.3,</w:t>
      </w:r>
      <w:r w:rsidR="00167FC9" w:rsidRPr="00572849">
        <w:t>7.2) MeV/c in support of PEPPo experiment [</w:t>
      </w:r>
      <w:r w:rsidR="00705DF8" w:rsidRPr="00572849">
        <w:t>6</w:t>
      </w:r>
      <w:r w:rsidR="00167FC9" w:rsidRPr="00572849">
        <w:t>]</w:t>
      </w:r>
    </w:p>
    <w:p w:rsidR="00696DFB" w:rsidRPr="00572849" w:rsidRDefault="00696DFB" w:rsidP="00A0495E">
      <w:pPr>
        <w:pStyle w:val="ListParagraph"/>
        <w:numPr>
          <w:ilvl w:val="0"/>
          <w:numId w:val="7"/>
        </w:numPr>
        <w:jc w:val="both"/>
      </w:pPr>
      <w:r w:rsidRPr="00572849">
        <w:t>to achieve each energy setpoint</w:t>
      </w:r>
      <w:r w:rsidR="00EC5EBF" w:rsidRPr="00572849">
        <w:t xml:space="preserve">, gradients were changed in </w:t>
      </w:r>
      <w:r w:rsidR="00EC5EBF" w:rsidRPr="00572849">
        <w:rPr>
          <w:i/>
        </w:rPr>
        <w:t>both</w:t>
      </w:r>
      <w:r w:rsidRPr="00572849">
        <w:t xml:space="preserve"> cavities in the quarter cryounit (for details see Appendix A)</w:t>
      </w:r>
    </w:p>
    <w:p w:rsidR="00167FC9" w:rsidRPr="00572849" w:rsidRDefault="00167FC9" w:rsidP="00BB15FB">
      <w:pPr>
        <w:jc w:val="both"/>
      </w:pPr>
    </w:p>
    <w:p w:rsidR="00BB15FB" w:rsidRPr="00572849" w:rsidRDefault="00BB15FB" w:rsidP="00BB15FB">
      <w:pPr>
        <w:jc w:val="both"/>
        <w:rPr>
          <w:i/>
        </w:rPr>
      </w:pPr>
      <w:r w:rsidRPr="00572849">
        <w:rPr>
          <w:i/>
        </w:rPr>
        <w:t>February 9, 2015</w:t>
      </w:r>
    </w:p>
    <w:p w:rsidR="00BB15FB" w:rsidRPr="00572849" w:rsidRDefault="00167FC9" w:rsidP="00A0495E">
      <w:pPr>
        <w:pStyle w:val="ListParagraph"/>
        <w:numPr>
          <w:ilvl w:val="0"/>
          <w:numId w:val="7"/>
        </w:numPr>
        <w:jc w:val="both"/>
      </w:pPr>
      <w:r w:rsidRPr="00572849">
        <w:t>quadrupole scan</w:t>
      </w:r>
      <w:r w:rsidR="00BB15FB" w:rsidRPr="00572849">
        <w:t xml:space="preserve"> at 6.3 MeV/c</w:t>
      </w:r>
    </w:p>
    <w:p w:rsidR="00BB15FB" w:rsidRPr="00572849" w:rsidRDefault="00BB15FB" w:rsidP="00BB15FB">
      <w:pPr>
        <w:jc w:val="both"/>
      </w:pPr>
    </w:p>
    <w:p w:rsidR="00BB15FB" w:rsidRPr="00572849" w:rsidRDefault="00BB15FB" w:rsidP="00BB15FB">
      <w:pPr>
        <w:jc w:val="both"/>
        <w:rPr>
          <w:i/>
        </w:rPr>
      </w:pPr>
      <w:r w:rsidRPr="00572849">
        <w:rPr>
          <w:i/>
        </w:rPr>
        <w:t>September 3, 2015</w:t>
      </w:r>
    </w:p>
    <w:p w:rsidR="00BB15FB" w:rsidRPr="00572849" w:rsidRDefault="00167FC9" w:rsidP="00A0495E">
      <w:pPr>
        <w:pStyle w:val="ListParagraph"/>
        <w:numPr>
          <w:ilvl w:val="0"/>
          <w:numId w:val="7"/>
        </w:numPr>
        <w:jc w:val="both"/>
      </w:pPr>
      <w:r w:rsidRPr="00572849">
        <w:t>quadrupole scan</w:t>
      </w:r>
      <w:r w:rsidR="00A0495E" w:rsidRPr="00572849">
        <w:t xml:space="preserve"> at (6.7,7.7,</w:t>
      </w:r>
      <w:r w:rsidR="00BB15FB" w:rsidRPr="00572849">
        <w:t>8.3) MeV/c</w:t>
      </w:r>
      <w:r w:rsidRPr="00572849">
        <w:t xml:space="preserve"> in support of Bubble Chamber experiment</w:t>
      </w:r>
    </w:p>
    <w:p w:rsidR="00AA4E1D" w:rsidRPr="00572849" w:rsidRDefault="00821376" w:rsidP="00C92B2D">
      <w:pPr>
        <w:pStyle w:val="ListParagraph"/>
        <w:numPr>
          <w:ilvl w:val="0"/>
          <w:numId w:val="7"/>
        </w:numPr>
        <w:jc w:val="both"/>
      </w:pPr>
      <w:r w:rsidRPr="00572849">
        <w:t>these measurements mark</w:t>
      </w:r>
      <w:r w:rsidR="00AA4E1D" w:rsidRPr="00572849">
        <w:t xml:space="preserve"> the first ti</w:t>
      </w:r>
      <w:r w:rsidR="009517BB" w:rsidRPr="00572849">
        <w:t>me using the zig-zag technique</w:t>
      </w:r>
      <w:r w:rsidR="00AA4E1D" w:rsidRPr="00572849">
        <w:t xml:space="preserve"> to acquire data</w:t>
      </w:r>
      <w:r w:rsidRPr="00572849">
        <w:t xml:space="preserve"> in the 5 MeV region</w:t>
      </w:r>
    </w:p>
    <w:p w:rsidR="00FF0BC5" w:rsidRPr="00572849" w:rsidRDefault="00FF0BC5" w:rsidP="00C92B2D">
      <w:pPr>
        <w:pStyle w:val="ListParagraph"/>
        <w:numPr>
          <w:ilvl w:val="0"/>
          <w:numId w:val="7"/>
        </w:numPr>
        <w:jc w:val="both"/>
      </w:pPr>
      <w:r w:rsidRPr="00572849">
        <w:t>immediately</w:t>
      </w:r>
      <w:r w:rsidR="001735E0" w:rsidRPr="00572849">
        <w:t xml:space="preserve"> it was clear</w:t>
      </w:r>
      <w:r w:rsidRPr="00572849">
        <w:t xml:space="preserve"> that something in the front end had changed since the usual scanning range of the quadrupole used in all the </w:t>
      </w:r>
      <w:r w:rsidR="00CA39FB" w:rsidRPr="00572849">
        <w:t>previous measurements failed t</w:t>
      </w:r>
      <w:r w:rsidR="001735E0" w:rsidRPr="00572849">
        <w:t>o produce a minimum beam spot size in either transverse plane</w:t>
      </w:r>
    </w:p>
    <w:p w:rsidR="00FF0BC5" w:rsidRPr="00572849" w:rsidRDefault="006D6D94" w:rsidP="00FF0BC5">
      <w:pPr>
        <w:pStyle w:val="ListParagraph"/>
        <w:numPr>
          <w:ilvl w:val="0"/>
          <w:numId w:val="7"/>
        </w:numPr>
        <w:jc w:val="both"/>
      </w:pPr>
      <w:r w:rsidRPr="00572849">
        <w:t>rather than a quad-drift configuration</w:t>
      </w:r>
      <w:r w:rsidR="00192D34" w:rsidRPr="00572849">
        <w:t>, in order to get sufficiently good data</w:t>
      </w:r>
      <w:r w:rsidRPr="00572849">
        <w:t xml:space="preserve"> we needed to have a quadrupole </w:t>
      </w:r>
      <w:r w:rsidR="00192D34" w:rsidRPr="00572849">
        <w:t xml:space="preserve">(QJ0L02A) </w:t>
      </w:r>
      <w:r w:rsidRPr="00572849">
        <w:t xml:space="preserve">on </w:t>
      </w:r>
      <w:r w:rsidR="00AD4B68" w:rsidRPr="00572849">
        <w:t xml:space="preserve">at a set field </w:t>
      </w:r>
      <w:r w:rsidRPr="00572849">
        <w:t>between the scanning quad and the wire scanner</w:t>
      </w:r>
    </w:p>
    <w:p w:rsidR="00192D34" w:rsidRPr="00572849" w:rsidRDefault="00192D34" w:rsidP="00C92B2D">
      <w:pPr>
        <w:pStyle w:val="ListParagraph"/>
        <w:numPr>
          <w:ilvl w:val="0"/>
          <w:numId w:val="7"/>
        </w:numPr>
        <w:jc w:val="both"/>
      </w:pPr>
      <w:r w:rsidRPr="00572849">
        <w:t>whereas previous data had been analyzed off-line, due to the quad-drift-quad-drift configuratio</w:t>
      </w:r>
      <w:r w:rsidR="009517BB" w:rsidRPr="00572849">
        <w:t xml:space="preserve">n of the measurement, qsUtility </w:t>
      </w:r>
      <w:r w:rsidRPr="00572849">
        <w:t>was used to analyze this set of data</w:t>
      </w:r>
    </w:p>
    <w:p w:rsidR="003D5F5E" w:rsidRPr="00572849" w:rsidRDefault="007F6F31" w:rsidP="00FE01DA">
      <w:pPr>
        <w:pStyle w:val="ListParagraph"/>
        <w:numPr>
          <w:ilvl w:val="0"/>
          <w:numId w:val="7"/>
        </w:numPr>
        <w:jc w:val="both"/>
      </w:pPr>
      <w:r w:rsidRPr="00572849">
        <w:t>for each energy setpoint</w:t>
      </w:r>
      <w:r w:rsidR="00696DFB" w:rsidRPr="00572849">
        <w:t xml:space="preserve"> the first cavity was held fixed while the gradient was changed in the second (verifying that the beam was on-crest</w:t>
      </w:r>
      <w:r w:rsidRPr="00572849">
        <w:t xml:space="preserve"> for each iteration</w:t>
      </w:r>
      <w:r w:rsidR="00696DFB" w:rsidRPr="00572849">
        <w:t>)</w:t>
      </w:r>
    </w:p>
    <w:p w:rsidR="003D5F5E" w:rsidRPr="00572849" w:rsidRDefault="003D5F5E" w:rsidP="00FE01DA">
      <w:pPr>
        <w:jc w:val="both"/>
      </w:pPr>
    </w:p>
    <w:p w:rsidR="006C4638" w:rsidRPr="00572849" w:rsidRDefault="003D5F5E" w:rsidP="00FC094A">
      <w:pPr>
        <w:ind w:left="720" w:right="720"/>
        <w:jc w:val="both"/>
        <w:rPr>
          <w:sz w:val="20"/>
        </w:rPr>
      </w:pPr>
      <w:r w:rsidRPr="00572849">
        <w:rPr>
          <w:sz w:val="20"/>
        </w:rPr>
        <w:t>Table 1: Summary of normalized emittances and Twiss</w:t>
      </w:r>
      <w:r w:rsidR="00E355E7" w:rsidRPr="00572849">
        <w:rPr>
          <w:sz w:val="20"/>
        </w:rPr>
        <w:t xml:space="preserve"> parameters in the 5 MeV region over the course of 17 months.</w:t>
      </w:r>
    </w:p>
    <w:p w:rsidR="00E355E7" w:rsidRPr="00572849" w:rsidRDefault="00E355E7" w:rsidP="00E355E7">
      <w:pPr>
        <w:ind w:left="360" w:right="450"/>
        <w:jc w:val="both"/>
        <w:rPr>
          <w:sz w:val="20"/>
        </w:rPr>
      </w:pPr>
    </w:p>
    <w:tbl>
      <w:tblPr>
        <w:tblStyle w:val="TableGrid"/>
        <w:tblW w:w="0" w:type="auto"/>
        <w:tblInd w:w="108" w:type="dxa"/>
        <w:tblLayout w:type="fixed"/>
        <w:tblLook w:val="04A0" w:firstRow="1" w:lastRow="0" w:firstColumn="1" w:lastColumn="0" w:noHBand="0" w:noVBand="1"/>
      </w:tblPr>
      <w:tblGrid>
        <w:gridCol w:w="2088"/>
        <w:gridCol w:w="972"/>
        <w:gridCol w:w="1170"/>
        <w:gridCol w:w="1170"/>
        <w:gridCol w:w="810"/>
        <w:gridCol w:w="828"/>
        <w:gridCol w:w="792"/>
        <w:gridCol w:w="918"/>
      </w:tblGrid>
      <w:tr w:rsidR="003D5F5E" w:rsidRPr="00572849" w:rsidTr="0035725C">
        <w:trPr>
          <w:trHeight w:val="524"/>
        </w:trPr>
        <w:tc>
          <w:tcPr>
            <w:tcW w:w="2088" w:type="dxa"/>
            <w:vAlign w:val="bottom"/>
          </w:tcPr>
          <w:p w:rsidR="003D5F5E" w:rsidRPr="00572849" w:rsidRDefault="003D5F5E">
            <w:pPr>
              <w:jc w:val="center"/>
              <w:rPr>
                <w:b/>
                <w:bCs/>
                <w:color w:val="000000"/>
              </w:rPr>
            </w:pPr>
            <w:r w:rsidRPr="00572849">
              <w:rPr>
                <w:b/>
                <w:bCs/>
                <w:color w:val="000000"/>
              </w:rPr>
              <w:t>Date</w:t>
            </w:r>
          </w:p>
          <w:p w:rsidR="003D5F5E" w:rsidRPr="00572849" w:rsidRDefault="003D5F5E">
            <w:pPr>
              <w:jc w:val="center"/>
              <w:rPr>
                <w:b/>
                <w:bCs/>
                <w:color w:val="000000"/>
                <w:sz w:val="20"/>
              </w:rPr>
            </w:pPr>
          </w:p>
        </w:tc>
        <w:tc>
          <w:tcPr>
            <w:tcW w:w="972" w:type="dxa"/>
            <w:vAlign w:val="bottom"/>
          </w:tcPr>
          <w:p w:rsidR="003D5F5E" w:rsidRPr="00572849" w:rsidRDefault="003D5F5E">
            <w:pPr>
              <w:jc w:val="center"/>
              <w:rPr>
                <w:b/>
                <w:bCs/>
                <w:color w:val="000000"/>
              </w:rPr>
            </w:pPr>
            <w:r w:rsidRPr="00572849">
              <w:rPr>
                <w:b/>
                <w:bCs/>
                <w:color w:val="000000"/>
              </w:rPr>
              <w:t>p</w:t>
            </w:r>
          </w:p>
          <w:p w:rsidR="003D5F5E" w:rsidRPr="00572849" w:rsidRDefault="003D5F5E" w:rsidP="00E11000">
            <w:pPr>
              <w:jc w:val="center"/>
              <w:rPr>
                <w:b/>
                <w:bCs/>
                <w:color w:val="000000"/>
              </w:rPr>
            </w:pPr>
            <w:r w:rsidRPr="00572849">
              <w:rPr>
                <w:i/>
                <w:iCs/>
                <w:color w:val="000000"/>
                <w:sz w:val="20"/>
              </w:rPr>
              <w:t>{MeV/c}</w:t>
            </w:r>
          </w:p>
        </w:tc>
        <w:tc>
          <w:tcPr>
            <w:tcW w:w="1170" w:type="dxa"/>
            <w:vAlign w:val="bottom"/>
          </w:tcPr>
          <w:p w:rsidR="003D5F5E" w:rsidRPr="00572849" w:rsidRDefault="003D5F5E">
            <w:pPr>
              <w:jc w:val="center"/>
              <w:rPr>
                <w:b/>
                <w:bCs/>
                <w:color w:val="000000"/>
              </w:rPr>
            </w:pPr>
            <w:r w:rsidRPr="00572849">
              <w:rPr>
                <w:rFonts w:ascii="Symbol" w:hAnsi="Symbol"/>
                <w:b/>
                <w:bCs/>
                <w:color w:val="000000"/>
              </w:rPr>
              <w:t></w:t>
            </w:r>
            <w:r w:rsidRPr="00572849">
              <w:rPr>
                <w:b/>
                <w:bCs/>
                <w:color w:val="000000"/>
                <w:vertAlign w:val="subscript"/>
              </w:rPr>
              <w:t>x</w:t>
            </w:r>
          </w:p>
          <w:p w:rsidR="003D5F5E" w:rsidRPr="00572849" w:rsidRDefault="003D5F5E" w:rsidP="00C072E6">
            <w:pPr>
              <w:jc w:val="center"/>
              <w:rPr>
                <w:b/>
                <w:bCs/>
                <w:color w:val="000000"/>
              </w:rPr>
            </w:pPr>
            <w:r w:rsidRPr="00572849">
              <w:rPr>
                <w:i/>
                <w:iCs/>
                <w:color w:val="000000"/>
                <w:sz w:val="20"/>
              </w:rPr>
              <w:t>{mm-mrad}</w:t>
            </w:r>
          </w:p>
        </w:tc>
        <w:tc>
          <w:tcPr>
            <w:tcW w:w="1170" w:type="dxa"/>
            <w:vAlign w:val="bottom"/>
          </w:tcPr>
          <w:p w:rsidR="003D5F5E" w:rsidRPr="00572849" w:rsidRDefault="003D5F5E">
            <w:pPr>
              <w:jc w:val="center"/>
              <w:rPr>
                <w:b/>
                <w:bCs/>
                <w:color w:val="000000"/>
              </w:rPr>
            </w:pPr>
            <w:r w:rsidRPr="00572849">
              <w:rPr>
                <w:rFonts w:ascii="Symbol" w:hAnsi="Symbol"/>
                <w:b/>
                <w:bCs/>
                <w:color w:val="000000"/>
              </w:rPr>
              <w:t></w:t>
            </w:r>
            <w:r w:rsidRPr="00572849">
              <w:rPr>
                <w:b/>
                <w:bCs/>
                <w:color w:val="000000"/>
                <w:vertAlign w:val="subscript"/>
              </w:rPr>
              <w:t>y</w:t>
            </w:r>
          </w:p>
          <w:p w:rsidR="003D5F5E" w:rsidRPr="00572849" w:rsidRDefault="003D5F5E" w:rsidP="000F5686">
            <w:pPr>
              <w:jc w:val="center"/>
              <w:rPr>
                <w:b/>
                <w:bCs/>
                <w:color w:val="000000"/>
              </w:rPr>
            </w:pPr>
            <w:r w:rsidRPr="00572849">
              <w:rPr>
                <w:i/>
                <w:iCs/>
                <w:color w:val="000000"/>
                <w:sz w:val="20"/>
              </w:rPr>
              <w:t>{mm-mrad}</w:t>
            </w:r>
          </w:p>
        </w:tc>
        <w:tc>
          <w:tcPr>
            <w:tcW w:w="810" w:type="dxa"/>
            <w:vAlign w:val="bottom"/>
          </w:tcPr>
          <w:p w:rsidR="003D5F5E" w:rsidRPr="00572849" w:rsidRDefault="003D5F5E">
            <w:pPr>
              <w:jc w:val="center"/>
              <w:rPr>
                <w:b/>
                <w:bCs/>
                <w:color w:val="000000"/>
              </w:rPr>
            </w:pPr>
            <w:r w:rsidRPr="00572849">
              <w:rPr>
                <w:rFonts w:ascii="Symbol" w:hAnsi="Symbol"/>
                <w:b/>
                <w:bCs/>
                <w:color w:val="000000"/>
              </w:rPr>
              <w:t></w:t>
            </w:r>
            <w:r w:rsidRPr="00572849">
              <w:rPr>
                <w:b/>
                <w:bCs/>
                <w:color w:val="000000"/>
                <w:vertAlign w:val="subscript"/>
              </w:rPr>
              <w:t>x</w:t>
            </w:r>
          </w:p>
          <w:p w:rsidR="003D5F5E" w:rsidRPr="00572849" w:rsidRDefault="003D5F5E" w:rsidP="00E864F2">
            <w:pPr>
              <w:jc w:val="center"/>
              <w:rPr>
                <w:b/>
                <w:bCs/>
                <w:color w:val="000000"/>
              </w:rPr>
            </w:pPr>
            <w:r w:rsidRPr="00572849">
              <w:rPr>
                <w:i/>
                <w:iCs/>
                <w:color w:val="000000"/>
                <w:sz w:val="20"/>
              </w:rPr>
              <w:t>{m}</w:t>
            </w:r>
          </w:p>
        </w:tc>
        <w:tc>
          <w:tcPr>
            <w:tcW w:w="828" w:type="dxa"/>
            <w:vAlign w:val="bottom"/>
          </w:tcPr>
          <w:p w:rsidR="003D5F5E" w:rsidRPr="00572849" w:rsidRDefault="003D5F5E">
            <w:pPr>
              <w:jc w:val="center"/>
              <w:rPr>
                <w:b/>
                <w:bCs/>
                <w:color w:val="000000"/>
                <w:vertAlign w:val="subscript"/>
              </w:rPr>
            </w:pPr>
            <w:r w:rsidRPr="00572849">
              <w:rPr>
                <w:rFonts w:ascii="Symbol" w:hAnsi="Symbol"/>
                <w:b/>
                <w:bCs/>
                <w:color w:val="000000"/>
              </w:rPr>
              <w:t></w:t>
            </w:r>
            <w:r w:rsidRPr="00572849">
              <w:rPr>
                <w:b/>
                <w:bCs/>
                <w:color w:val="000000"/>
                <w:vertAlign w:val="subscript"/>
              </w:rPr>
              <w:t>x</w:t>
            </w:r>
          </w:p>
          <w:p w:rsidR="003D5F5E" w:rsidRPr="00572849" w:rsidRDefault="003D5F5E">
            <w:pPr>
              <w:jc w:val="center"/>
              <w:rPr>
                <w:b/>
                <w:bCs/>
                <w:color w:val="000000"/>
                <w:sz w:val="20"/>
              </w:rPr>
            </w:pPr>
          </w:p>
        </w:tc>
        <w:tc>
          <w:tcPr>
            <w:tcW w:w="792" w:type="dxa"/>
            <w:vAlign w:val="bottom"/>
          </w:tcPr>
          <w:p w:rsidR="003D5F5E" w:rsidRPr="00572849" w:rsidRDefault="003D5F5E">
            <w:pPr>
              <w:jc w:val="center"/>
              <w:rPr>
                <w:b/>
                <w:bCs/>
                <w:color w:val="000000"/>
              </w:rPr>
            </w:pPr>
            <w:r w:rsidRPr="00572849">
              <w:rPr>
                <w:rFonts w:ascii="Symbol" w:hAnsi="Symbol"/>
                <w:b/>
                <w:bCs/>
                <w:color w:val="000000"/>
              </w:rPr>
              <w:t></w:t>
            </w:r>
            <w:r w:rsidRPr="00572849">
              <w:rPr>
                <w:b/>
                <w:bCs/>
                <w:color w:val="000000"/>
                <w:vertAlign w:val="subscript"/>
              </w:rPr>
              <w:t>y</w:t>
            </w:r>
          </w:p>
          <w:p w:rsidR="003D5F5E" w:rsidRPr="00572849" w:rsidRDefault="003D5F5E" w:rsidP="00601960">
            <w:pPr>
              <w:jc w:val="center"/>
              <w:rPr>
                <w:b/>
                <w:bCs/>
                <w:color w:val="000000"/>
              </w:rPr>
            </w:pPr>
            <w:r w:rsidRPr="00572849">
              <w:rPr>
                <w:i/>
                <w:iCs/>
                <w:color w:val="000000"/>
                <w:sz w:val="20"/>
              </w:rPr>
              <w:t>{m}</w:t>
            </w:r>
          </w:p>
        </w:tc>
        <w:tc>
          <w:tcPr>
            <w:tcW w:w="918" w:type="dxa"/>
            <w:vAlign w:val="bottom"/>
          </w:tcPr>
          <w:p w:rsidR="003D5F5E" w:rsidRPr="00572849" w:rsidRDefault="003D5F5E">
            <w:pPr>
              <w:jc w:val="center"/>
              <w:rPr>
                <w:b/>
                <w:bCs/>
                <w:color w:val="000000"/>
                <w:vertAlign w:val="subscript"/>
              </w:rPr>
            </w:pPr>
            <w:r w:rsidRPr="00572849">
              <w:rPr>
                <w:rFonts w:ascii="Symbol" w:hAnsi="Symbol"/>
                <w:b/>
                <w:bCs/>
                <w:color w:val="000000"/>
              </w:rPr>
              <w:t></w:t>
            </w:r>
            <w:r w:rsidRPr="00572849">
              <w:rPr>
                <w:b/>
                <w:bCs/>
                <w:color w:val="000000"/>
                <w:vertAlign w:val="subscript"/>
              </w:rPr>
              <w:t>y</w:t>
            </w:r>
          </w:p>
          <w:p w:rsidR="003D5F5E" w:rsidRPr="00572849" w:rsidRDefault="003D5F5E">
            <w:pPr>
              <w:jc w:val="center"/>
              <w:rPr>
                <w:b/>
                <w:bCs/>
                <w:color w:val="000000"/>
                <w:sz w:val="20"/>
              </w:rPr>
            </w:pPr>
          </w:p>
        </w:tc>
      </w:tr>
      <w:tr w:rsidR="001F7B65" w:rsidRPr="00572849" w:rsidTr="006C4638">
        <w:tc>
          <w:tcPr>
            <w:tcW w:w="2088" w:type="dxa"/>
            <w:vAlign w:val="bottom"/>
          </w:tcPr>
          <w:p w:rsidR="001F7B65" w:rsidRPr="00572849" w:rsidRDefault="001F7B65">
            <w:pPr>
              <w:rPr>
                <w:i/>
                <w:color w:val="000000"/>
              </w:rPr>
            </w:pPr>
            <w:r w:rsidRPr="00572849">
              <w:rPr>
                <w:i/>
                <w:color w:val="000000"/>
              </w:rPr>
              <w:t>February 19, 2014</w:t>
            </w:r>
          </w:p>
        </w:tc>
        <w:tc>
          <w:tcPr>
            <w:tcW w:w="972" w:type="dxa"/>
            <w:vAlign w:val="bottom"/>
          </w:tcPr>
          <w:p w:rsidR="001F7B65" w:rsidRPr="00572849" w:rsidRDefault="001F7B65">
            <w:pPr>
              <w:jc w:val="center"/>
              <w:rPr>
                <w:color w:val="000000"/>
              </w:rPr>
            </w:pPr>
            <w:r w:rsidRPr="00572849">
              <w:rPr>
                <w:color w:val="000000"/>
              </w:rPr>
              <w:t>5.50</w:t>
            </w:r>
          </w:p>
        </w:tc>
        <w:tc>
          <w:tcPr>
            <w:tcW w:w="1170" w:type="dxa"/>
            <w:vAlign w:val="bottom"/>
          </w:tcPr>
          <w:p w:rsidR="001F7B65" w:rsidRPr="00572849" w:rsidRDefault="001F7B65">
            <w:pPr>
              <w:jc w:val="center"/>
              <w:rPr>
                <w:color w:val="000000"/>
              </w:rPr>
            </w:pPr>
            <w:r w:rsidRPr="00572849">
              <w:rPr>
                <w:color w:val="000000"/>
              </w:rPr>
              <w:t>0.39</w:t>
            </w:r>
          </w:p>
        </w:tc>
        <w:tc>
          <w:tcPr>
            <w:tcW w:w="1170" w:type="dxa"/>
            <w:vAlign w:val="bottom"/>
          </w:tcPr>
          <w:p w:rsidR="001F7B65" w:rsidRPr="00572849" w:rsidRDefault="001F7B65">
            <w:pPr>
              <w:jc w:val="center"/>
              <w:rPr>
                <w:color w:val="000000"/>
              </w:rPr>
            </w:pPr>
            <w:r w:rsidRPr="00572849">
              <w:rPr>
                <w:color w:val="000000"/>
              </w:rPr>
              <w:t>0.26</w:t>
            </w:r>
          </w:p>
        </w:tc>
        <w:tc>
          <w:tcPr>
            <w:tcW w:w="810" w:type="dxa"/>
            <w:vAlign w:val="bottom"/>
          </w:tcPr>
          <w:p w:rsidR="001F7B65" w:rsidRPr="00572849" w:rsidRDefault="001F7B65">
            <w:pPr>
              <w:jc w:val="center"/>
              <w:rPr>
                <w:color w:val="000000"/>
              </w:rPr>
            </w:pPr>
            <w:r w:rsidRPr="00572849">
              <w:rPr>
                <w:color w:val="000000"/>
              </w:rPr>
              <w:t>6.38</w:t>
            </w:r>
          </w:p>
        </w:tc>
        <w:tc>
          <w:tcPr>
            <w:tcW w:w="828" w:type="dxa"/>
            <w:vAlign w:val="bottom"/>
          </w:tcPr>
          <w:p w:rsidR="001F7B65" w:rsidRPr="00572849" w:rsidRDefault="00CA091F">
            <w:pPr>
              <w:jc w:val="center"/>
              <w:rPr>
                <w:color w:val="000000"/>
              </w:rPr>
            </w:pPr>
            <w:r w:rsidRPr="00572849">
              <w:rPr>
                <w:rFonts w:ascii="Symbol" w:hAnsi="Symbol"/>
                <w:color w:val="000000"/>
              </w:rPr>
              <w:t></w:t>
            </w:r>
            <w:r w:rsidR="001F7B65" w:rsidRPr="00572849">
              <w:rPr>
                <w:color w:val="000000"/>
              </w:rPr>
              <w:t>1.02</w:t>
            </w:r>
          </w:p>
        </w:tc>
        <w:tc>
          <w:tcPr>
            <w:tcW w:w="792" w:type="dxa"/>
            <w:vAlign w:val="bottom"/>
          </w:tcPr>
          <w:p w:rsidR="001F7B65" w:rsidRPr="00572849" w:rsidRDefault="001F7B65">
            <w:pPr>
              <w:jc w:val="center"/>
              <w:rPr>
                <w:color w:val="000000"/>
              </w:rPr>
            </w:pPr>
            <w:r w:rsidRPr="00572849">
              <w:rPr>
                <w:color w:val="000000"/>
              </w:rPr>
              <w:t>2.34</w:t>
            </w:r>
          </w:p>
        </w:tc>
        <w:tc>
          <w:tcPr>
            <w:tcW w:w="918" w:type="dxa"/>
            <w:vAlign w:val="bottom"/>
          </w:tcPr>
          <w:p w:rsidR="001F7B65" w:rsidRPr="00572849" w:rsidRDefault="00CA091F">
            <w:pPr>
              <w:jc w:val="center"/>
              <w:rPr>
                <w:color w:val="000000"/>
              </w:rPr>
            </w:pPr>
            <w:r w:rsidRPr="00572849">
              <w:rPr>
                <w:rFonts w:ascii="Symbol" w:hAnsi="Symbol"/>
                <w:color w:val="000000"/>
              </w:rPr>
              <w:t></w:t>
            </w:r>
            <w:r w:rsidR="001F7B65" w:rsidRPr="00572849">
              <w:rPr>
                <w:color w:val="000000"/>
              </w:rPr>
              <w:t>0.02</w:t>
            </w:r>
          </w:p>
        </w:tc>
      </w:tr>
      <w:tr w:rsidR="001F7B65" w:rsidRPr="00572849" w:rsidTr="006C4638">
        <w:tc>
          <w:tcPr>
            <w:tcW w:w="2088" w:type="dxa"/>
            <w:vAlign w:val="bottom"/>
          </w:tcPr>
          <w:p w:rsidR="001F7B65" w:rsidRPr="00572849" w:rsidRDefault="001F7B65">
            <w:pPr>
              <w:rPr>
                <w:i/>
                <w:color w:val="000000"/>
              </w:rPr>
            </w:pPr>
            <w:r w:rsidRPr="00572849">
              <w:rPr>
                <w:i/>
                <w:color w:val="000000"/>
              </w:rPr>
              <w:t>April 3, 2014</w:t>
            </w:r>
          </w:p>
        </w:tc>
        <w:tc>
          <w:tcPr>
            <w:tcW w:w="972" w:type="dxa"/>
            <w:vAlign w:val="bottom"/>
          </w:tcPr>
          <w:p w:rsidR="001F7B65" w:rsidRPr="00572849" w:rsidRDefault="001F7B65">
            <w:pPr>
              <w:jc w:val="center"/>
              <w:rPr>
                <w:color w:val="000000"/>
              </w:rPr>
            </w:pPr>
            <w:r w:rsidRPr="00572849">
              <w:rPr>
                <w:color w:val="000000"/>
              </w:rPr>
              <w:t>6.30</w:t>
            </w:r>
          </w:p>
        </w:tc>
        <w:tc>
          <w:tcPr>
            <w:tcW w:w="1170" w:type="dxa"/>
            <w:vAlign w:val="bottom"/>
          </w:tcPr>
          <w:p w:rsidR="001F7B65" w:rsidRPr="00572849" w:rsidRDefault="001F7B65">
            <w:pPr>
              <w:jc w:val="center"/>
              <w:rPr>
                <w:color w:val="000000"/>
              </w:rPr>
            </w:pPr>
            <w:r w:rsidRPr="00572849">
              <w:rPr>
                <w:color w:val="000000"/>
              </w:rPr>
              <w:t>0.35</w:t>
            </w:r>
          </w:p>
        </w:tc>
        <w:tc>
          <w:tcPr>
            <w:tcW w:w="1170" w:type="dxa"/>
            <w:vAlign w:val="bottom"/>
          </w:tcPr>
          <w:p w:rsidR="001F7B65" w:rsidRPr="00572849" w:rsidRDefault="001F7B65">
            <w:pPr>
              <w:jc w:val="center"/>
              <w:rPr>
                <w:color w:val="000000"/>
              </w:rPr>
            </w:pPr>
            <w:r w:rsidRPr="00572849">
              <w:rPr>
                <w:color w:val="000000"/>
              </w:rPr>
              <w:t>0.35</w:t>
            </w:r>
          </w:p>
        </w:tc>
        <w:tc>
          <w:tcPr>
            <w:tcW w:w="810" w:type="dxa"/>
            <w:vAlign w:val="bottom"/>
          </w:tcPr>
          <w:p w:rsidR="001F7B65" w:rsidRPr="00572849" w:rsidRDefault="001F7B65">
            <w:pPr>
              <w:jc w:val="center"/>
              <w:rPr>
                <w:color w:val="000000"/>
              </w:rPr>
            </w:pPr>
            <w:r w:rsidRPr="00572849">
              <w:rPr>
                <w:color w:val="000000"/>
              </w:rPr>
              <w:t>26.98</w:t>
            </w:r>
          </w:p>
        </w:tc>
        <w:tc>
          <w:tcPr>
            <w:tcW w:w="828" w:type="dxa"/>
            <w:vAlign w:val="bottom"/>
          </w:tcPr>
          <w:p w:rsidR="001F7B65" w:rsidRPr="00572849" w:rsidRDefault="00CA091F">
            <w:pPr>
              <w:jc w:val="center"/>
              <w:rPr>
                <w:color w:val="000000"/>
              </w:rPr>
            </w:pPr>
            <w:r w:rsidRPr="00572849">
              <w:rPr>
                <w:rFonts w:ascii="Symbol" w:hAnsi="Symbol"/>
                <w:color w:val="000000"/>
              </w:rPr>
              <w:t></w:t>
            </w:r>
            <w:r w:rsidR="001F7B65" w:rsidRPr="00572849">
              <w:rPr>
                <w:color w:val="000000"/>
              </w:rPr>
              <w:t>3.58</w:t>
            </w:r>
          </w:p>
        </w:tc>
        <w:tc>
          <w:tcPr>
            <w:tcW w:w="792" w:type="dxa"/>
            <w:vAlign w:val="bottom"/>
          </w:tcPr>
          <w:p w:rsidR="001F7B65" w:rsidRPr="00572849" w:rsidRDefault="001F7B65">
            <w:pPr>
              <w:jc w:val="center"/>
              <w:rPr>
                <w:color w:val="000000"/>
              </w:rPr>
            </w:pPr>
            <w:r w:rsidRPr="00572849">
              <w:rPr>
                <w:color w:val="000000"/>
              </w:rPr>
              <w:t>24.73</w:t>
            </w:r>
          </w:p>
        </w:tc>
        <w:tc>
          <w:tcPr>
            <w:tcW w:w="918" w:type="dxa"/>
            <w:vAlign w:val="bottom"/>
          </w:tcPr>
          <w:p w:rsidR="001F7B65" w:rsidRPr="00572849" w:rsidRDefault="00CA091F">
            <w:pPr>
              <w:jc w:val="center"/>
              <w:rPr>
                <w:color w:val="000000"/>
              </w:rPr>
            </w:pPr>
            <w:r w:rsidRPr="00572849">
              <w:rPr>
                <w:rFonts w:ascii="Symbol" w:hAnsi="Symbol"/>
                <w:color w:val="000000"/>
              </w:rPr>
              <w:t></w:t>
            </w:r>
            <w:r w:rsidR="001F7B65" w:rsidRPr="00572849">
              <w:rPr>
                <w:color w:val="000000"/>
              </w:rPr>
              <w:t>0.93</w:t>
            </w:r>
          </w:p>
        </w:tc>
      </w:tr>
      <w:tr w:rsidR="001F7B65" w:rsidRPr="00572849" w:rsidTr="006C4638">
        <w:tc>
          <w:tcPr>
            <w:tcW w:w="2088" w:type="dxa"/>
            <w:vAlign w:val="bottom"/>
          </w:tcPr>
          <w:p w:rsidR="001F7B65" w:rsidRPr="00572849" w:rsidRDefault="001F7B65">
            <w:pPr>
              <w:rPr>
                <w:i/>
                <w:color w:val="000000"/>
              </w:rPr>
            </w:pPr>
            <w:r w:rsidRPr="00572849">
              <w:rPr>
                <w:i/>
                <w:color w:val="000000"/>
              </w:rPr>
              <w:t>April 19, 2014</w:t>
            </w:r>
          </w:p>
        </w:tc>
        <w:tc>
          <w:tcPr>
            <w:tcW w:w="972" w:type="dxa"/>
            <w:vAlign w:val="bottom"/>
          </w:tcPr>
          <w:p w:rsidR="001F7B65" w:rsidRPr="00572849" w:rsidRDefault="001F7B65">
            <w:pPr>
              <w:jc w:val="center"/>
              <w:rPr>
                <w:color w:val="000000"/>
              </w:rPr>
            </w:pPr>
            <w:r w:rsidRPr="00572849">
              <w:rPr>
                <w:color w:val="000000"/>
              </w:rPr>
              <w:t>3.10</w:t>
            </w:r>
          </w:p>
        </w:tc>
        <w:tc>
          <w:tcPr>
            <w:tcW w:w="1170" w:type="dxa"/>
            <w:vAlign w:val="bottom"/>
          </w:tcPr>
          <w:p w:rsidR="001F7B65" w:rsidRPr="00572849" w:rsidRDefault="001F7B65">
            <w:pPr>
              <w:jc w:val="center"/>
              <w:rPr>
                <w:color w:val="000000"/>
              </w:rPr>
            </w:pPr>
            <w:r w:rsidRPr="00572849">
              <w:rPr>
                <w:color w:val="000000"/>
              </w:rPr>
              <w:t>0.42</w:t>
            </w:r>
          </w:p>
        </w:tc>
        <w:tc>
          <w:tcPr>
            <w:tcW w:w="1170" w:type="dxa"/>
            <w:vAlign w:val="bottom"/>
          </w:tcPr>
          <w:p w:rsidR="001F7B65" w:rsidRPr="00572849" w:rsidRDefault="001F7B65">
            <w:pPr>
              <w:jc w:val="center"/>
              <w:rPr>
                <w:color w:val="000000"/>
              </w:rPr>
            </w:pPr>
            <w:r w:rsidRPr="00572849">
              <w:rPr>
                <w:color w:val="000000"/>
              </w:rPr>
              <w:t>0.16</w:t>
            </w:r>
          </w:p>
        </w:tc>
        <w:tc>
          <w:tcPr>
            <w:tcW w:w="810" w:type="dxa"/>
            <w:vAlign w:val="bottom"/>
          </w:tcPr>
          <w:p w:rsidR="001F7B65" w:rsidRPr="00572849" w:rsidRDefault="001F7B65">
            <w:pPr>
              <w:jc w:val="center"/>
              <w:rPr>
                <w:color w:val="000000"/>
              </w:rPr>
            </w:pPr>
            <w:r w:rsidRPr="00572849">
              <w:rPr>
                <w:color w:val="000000"/>
              </w:rPr>
              <w:t>22.79</w:t>
            </w:r>
          </w:p>
        </w:tc>
        <w:tc>
          <w:tcPr>
            <w:tcW w:w="828" w:type="dxa"/>
            <w:vAlign w:val="bottom"/>
          </w:tcPr>
          <w:p w:rsidR="001F7B65" w:rsidRPr="00572849" w:rsidRDefault="00CA091F">
            <w:pPr>
              <w:jc w:val="center"/>
              <w:rPr>
                <w:color w:val="000000"/>
              </w:rPr>
            </w:pPr>
            <w:r w:rsidRPr="00572849">
              <w:rPr>
                <w:rFonts w:ascii="Symbol" w:hAnsi="Symbol"/>
                <w:color w:val="000000"/>
              </w:rPr>
              <w:t></w:t>
            </w:r>
            <w:r w:rsidR="001F7B65" w:rsidRPr="00572849">
              <w:rPr>
                <w:color w:val="000000"/>
              </w:rPr>
              <w:t>7.42</w:t>
            </w:r>
          </w:p>
        </w:tc>
        <w:tc>
          <w:tcPr>
            <w:tcW w:w="792" w:type="dxa"/>
            <w:vAlign w:val="bottom"/>
          </w:tcPr>
          <w:p w:rsidR="001F7B65" w:rsidRPr="00572849" w:rsidRDefault="001F7B65">
            <w:pPr>
              <w:jc w:val="center"/>
              <w:rPr>
                <w:color w:val="000000"/>
              </w:rPr>
            </w:pPr>
            <w:r w:rsidRPr="00572849">
              <w:rPr>
                <w:color w:val="000000"/>
              </w:rPr>
              <w:t>10.20</w:t>
            </w:r>
          </w:p>
        </w:tc>
        <w:tc>
          <w:tcPr>
            <w:tcW w:w="918" w:type="dxa"/>
            <w:vAlign w:val="bottom"/>
          </w:tcPr>
          <w:p w:rsidR="001F7B65" w:rsidRPr="00572849" w:rsidRDefault="00CA091F">
            <w:pPr>
              <w:jc w:val="center"/>
              <w:rPr>
                <w:color w:val="000000"/>
              </w:rPr>
            </w:pPr>
            <w:r w:rsidRPr="00572849">
              <w:rPr>
                <w:rFonts w:ascii="Symbol" w:hAnsi="Symbol"/>
                <w:color w:val="000000"/>
              </w:rPr>
              <w:t></w:t>
            </w:r>
            <w:r w:rsidR="001F7B65" w:rsidRPr="00572849">
              <w:rPr>
                <w:color w:val="000000"/>
              </w:rPr>
              <w:t>0.67</w:t>
            </w:r>
          </w:p>
        </w:tc>
      </w:tr>
      <w:tr w:rsidR="001F7B65" w:rsidRPr="00572849" w:rsidTr="006C4638">
        <w:tc>
          <w:tcPr>
            <w:tcW w:w="2088" w:type="dxa"/>
            <w:vMerge w:val="restart"/>
            <w:vAlign w:val="bottom"/>
          </w:tcPr>
          <w:p w:rsidR="001F7B65" w:rsidRPr="00572849" w:rsidRDefault="001F7B65">
            <w:pPr>
              <w:rPr>
                <w:i/>
                <w:color w:val="000000"/>
              </w:rPr>
            </w:pPr>
          </w:p>
        </w:tc>
        <w:tc>
          <w:tcPr>
            <w:tcW w:w="972" w:type="dxa"/>
            <w:vAlign w:val="bottom"/>
          </w:tcPr>
          <w:p w:rsidR="001F7B65" w:rsidRPr="00572849" w:rsidRDefault="001F7B65">
            <w:pPr>
              <w:jc w:val="center"/>
              <w:rPr>
                <w:color w:val="000000"/>
              </w:rPr>
            </w:pPr>
            <w:r w:rsidRPr="00572849">
              <w:rPr>
                <w:color w:val="000000"/>
              </w:rPr>
              <w:t>4.00</w:t>
            </w:r>
          </w:p>
        </w:tc>
        <w:tc>
          <w:tcPr>
            <w:tcW w:w="1170" w:type="dxa"/>
            <w:vAlign w:val="bottom"/>
          </w:tcPr>
          <w:p w:rsidR="001F7B65" w:rsidRPr="00572849" w:rsidRDefault="001F7B65">
            <w:pPr>
              <w:jc w:val="center"/>
              <w:rPr>
                <w:color w:val="000000"/>
              </w:rPr>
            </w:pPr>
            <w:r w:rsidRPr="00572849">
              <w:rPr>
                <w:color w:val="000000"/>
              </w:rPr>
              <w:t>0.43</w:t>
            </w:r>
          </w:p>
        </w:tc>
        <w:tc>
          <w:tcPr>
            <w:tcW w:w="1170" w:type="dxa"/>
            <w:vAlign w:val="bottom"/>
          </w:tcPr>
          <w:p w:rsidR="001F7B65" w:rsidRPr="00572849" w:rsidRDefault="001F7B65">
            <w:pPr>
              <w:jc w:val="center"/>
              <w:rPr>
                <w:color w:val="000000"/>
              </w:rPr>
            </w:pPr>
            <w:r w:rsidRPr="00572849">
              <w:rPr>
                <w:color w:val="000000"/>
              </w:rPr>
              <w:t>0.18</w:t>
            </w:r>
          </w:p>
        </w:tc>
        <w:tc>
          <w:tcPr>
            <w:tcW w:w="810" w:type="dxa"/>
            <w:vAlign w:val="bottom"/>
          </w:tcPr>
          <w:p w:rsidR="001F7B65" w:rsidRPr="00572849" w:rsidRDefault="001F7B65">
            <w:pPr>
              <w:jc w:val="center"/>
              <w:rPr>
                <w:color w:val="000000"/>
              </w:rPr>
            </w:pPr>
            <w:r w:rsidRPr="00572849">
              <w:rPr>
                <w:color w:val="000000"/>
              </w:rPr>
              <w:t>22.91</w:t>
            </w:r>
          </w:p>
        </w:tc>
        <w:tc>
          <w:tcPr>
            <w:tcW w:w="828" w:type="dxa"/>
            <w:vAlign w:val="bottom"/>
          </w:tcPr>
          <w:p w:rsidR="001F7B65" w:rsidRPr="00572849" w:rsidRDefault="00CA091F">
            <w:pPr>
              <w:jc w:val="center"/>
              <w:rPr>
                <w:color w:val="000000"/>
              </w:rPr>
            </w:pPr>
            <w:r w:rsidRPr="00572849">
              <w:rPr>
                <w:rFonts w:ascii="Symbol" w:hAnsi="Symbol"/>
                <w:color w:val="000000"/>
              </w:rPr>
              <w:t></w:t>
            </w:r>
            <w:r w:rsidR="001F7B65" w:rsidRPr="00572849">
              <w:rPr>
                <w:color w:val="000000"/>
              </w:rPr>
              <w:t>6.52</w:t>
            </w:r>
          </w:p>
        </w:tc>
        <w:tc>
          <w:tcPr>
            <w:tcW w:w="792" w:type="dxa"/>
            <w:vAlign w:val="bottom"/>
          </w:tcPr>
          <w:p w:rsidR="001F7B65" w:rsidRPr="00572849" w:rsidRDefault="001F7B65">
            <w:pPr>
              <w:jc w:val="center"/>
              <w:rPr>
                <w:color w:val="000000"/>
              </w:rPr>
            </w:pPr>
            <w:r w:rsidRPr="00572849">
              <w:rPr>
                <w:color w:val="000000"/>
              </w:rPr>
              <w:t>19.37</w:t>
            </w:r>
          </w:p>
        </w:tc>
        <w:tc>
          <w:tcPr>
            <w:tcW w:w="918" w:type="dxa"/>
            <w:vAlign w:val="bottom"/>
          </w:tcPr>
          <w:p w:rsidR="001F7B65" w:rsidRPr="00572849" w:rsidRDefault="00CA091F">
            <w:pPr>
              <w:jc w:val="center"/>
              <w:rPr>
                <w:color w:val="000000"/>
              </w:rPr>
            </w:pPr>
            <w:r w:rsidRPr="00572849">
              <w:rPr>
                <w:rFonts w:ascii="Symbol" w:hAnsi="Symbol"/>
                <w:color w:val="000000"/>
              </w:rPr>
              <w:t></w:t>
            </w:r>
            <w:r w:rsidR="001F7B65" w:rsidRPr="00572849">
              <w:rPr>
                <w:color w:val="000000"/>
              </w:rPr>
              <w:t>1.42</w:t>
            </w:r>
          </w:p>
        </w:tc>
      </w:tr>
      <w:tr w:rsidR="001F7B65" w:rsidRPr="00572849" w:rsidTr="006C4638">
        <w:tc>
          <w:tcPr>
            <w:tcW w:w="2088" w:type="dxa"/>
            <w:vMerge/>
            <w:vAlign w:val="bottom"/>
          </w:tcPr>
          <w:p w:rsidR="001F7B65" w:rsidRPr="00572849" w:rsidRDefault="001F7B65">
            <w:pPr>
              <w:rPr>
                <w:i/>
                <w:color w:val="000000"/>
              </w:rPr>
            </w:pPr>
          </w:p>
        </w:tc>
        <w:tc>
          <w:tcPr>
            <w:tcW w:w="972" w:type="dxa"/>
            <w:vAlign w:val="bottom"/>
          </w:tcPr>
          <w:p w:rsidR="001F7B65" w:rsidRPr="00572849" w:rsidRDefault="001F7B65">
            <w:pPr>
              <w:jc w:val="center"/>
              <w:rPr>
                <w:color w:val="000000"/>
              </w:rPr>
            </w:pPr>
            <w:r w:rsidRPr="00572849">
              <w:rPr>
                <w:color w:val="000000"/>
              </w:rPr>
              <w:t>6.30</w:t>
            </w:r>
          </w:p>
        </w:tc>
        <w:tc>
          <w:tcPr>
            <w:tcW w:w="1170" w:type="dxa"/>
            <w:vAlign w:val="bottom"/>
          </w:tcPr>
          <w:p w:rsidR="001F7B65" w:rsidRPr="00572849" w:rsidRDefault="001F7B65">
            <w:pPr>
              <w:jc w:val="center"/>
              <w:rPr>
                <w:color w:val="000000"/>
              </w:rPr>
            </w:pPr>
            <w:r w:rsidRPr="00572849">
              <w:rPr>
                <w:color w:val="000000"/>
              </w:rPr>
              <w:t>0.42</w:t>
            </w:r>
          </w:p>
        </w:tc>
        <w:tc>
          <w:tcPr>
            <w:tcW w:w="1170" w:type="dxa"/>
            <w:vAlign w:val="bottom"/>
          </w:tcPr>
          <w:p w:rsidR="001F7B65" w:rsidRPr="00572849" w:rsidRDefault="001F7B65">
            <w:pPr>
              <w:jc w:val="center"/>
              <w:rPr>
                <w:color w:val="000000"/>
              </w:rPr>
            </w:pPr>
            <w:r w:rsidRPr="00572849">
              <w:rPr>
                <w:color w:val="000000"/>
              </w:rPr>
              <w:t>0.30</w:t>
            </w:r>
          </w:p>
        </w:tc>
        <w:tc>
          <w:tcPr>
            <w:tcW w:w="810" w:type="dxa"/>
            <w:vAlign w:val="bottom"/>
          </w:tcPr>
          <w:p w:rsidR="001F7B65" w:rsidRPr="00572849" w:rsidRDefault="001F7B65">
            <w:pPr>
              <w:jc w:val="center"/>
              <w:rPr>
                <w:color w:val="000000"/>
              </w:rPr>
            </w:pPr>
            <w:r w:rsidRPr="00572849">
              <w:rPr>
                <w:color w:val="000000"/>
              </w:rPr>
              <w:t>9.11</w:t>
            </w:r>
          </w:p>
        </w:tc>
        <w:tc>
          <w:tcPr>
            <w:tcW w:w="828" w:type="dxa"/>
            <w:vAlign w:val="bottom"/>
          </w:tcPr>
          <w:p w:rsidR="001F7B65" w:rsidRPr="00572849" w:rsidRDefault="00CA091F">
            <w:pPr>
              <w:jc w:val="center"/>
              <w:rPr>
                <w:color w:val="000000"/>
              </w:rPr>
            </w:pPr>
            <w:r w:rsidRPr="00572849">
              <w:rPr>
                <w:rFonts w:ascii="Symbol" w:hAnsi="Symbol"/>
                <w:color w:val="000000"/>
              </w:rPr>
              <w:t></w:t>
            </w:r>
            <w:r w:rsidR="001F7B65" w:rsidRPr="00572849">
              <w:rPr>
                <w:color w:val="000000"/>
              </w:rPr>
              <w:t>2.53</w:t>
            </w:r>
          </w:p>
        </w:tc>
        <w:tc>
          <w:tcPr>
            <w:tcW w:w="792" w:type="dxa"/>
            <w:vAlign w:val="bottom"/>
          </w:tcPr>
          <w:p w:rsidR="001F7B65" w:rsidRPr="00572849" w:rsidRDefault="001F7B65">
            <w:pPr>
              <w:jc w:val="center"/>
              <w:rPr>
                <w:color w:val="000000"/>
              </w:rPr>
            </w:pPr>
            <w:r w:rsidRPr="00572849">
              <w:rPr>
                <w:color w:val="000000"/>
              </w:rPr>
              <w:t>30.13</w:t>
            </w:r>
          </w:p>
        </w:tc>
        <w:tc>
          <w:tcPr>
            <w:tcW w:w="918" w:type="dxa"/>
            <w:vAlign w:val="bottom"/>
          </w:tcPr>
          <w:p w:rsidR="001F7B65" w:rsidRPr="00572849" w:rsidRDefault="00CA091F">
            <w:pPr>
              <w:jc w:val="center"/>
              <w:rPr>
                <w:color w:val="000000"/>
              </w:rPr>
            </w:pPr>
            <w:r w:rsidRPr="00572849">
              <w:rPr>
                <w:rFonts w:ascii="Symbol" w:hAnsi="Symbol"/>
                <w:color w:val="000000"/>
              </w:rPr>
              <w:t></w:t>
            </w:r>
            <w:r w:rsidR="001F7B65" w:rsidRPr="00572849">
              <w:rPr>
                <w:color w:val="000000"/>
              </w:rPr>
              <w:t>8.34</w:t>
            </w:r>
          </w:p>
        </w:tc>
      </w:tr>
      <w:tr w:rsidR="001F7B65" w:rsidRPr="00572849" w:rsidTr="006C4638">
        <w:tc>
          <w:tcPr>
            <w:tcW w:w="2088" w:type="dxa"/>
            <w:vMerge/>
            <w:vAlign w:val="bottom"/>
          </w:tcPr>
          <w:p w:rsidR="001F7B65" w:rsidRPr="00572849" w:rsidRDefault="001F7B65">
            <w:pPr>
              <w:rPr>
                <w:i/>
                <w:color w:val="000000"/>
              </w:rPr>
            </w:pPr>
          </w:p>
        </w:tc>
        <w:tc>
          <w:tcPr>
            <w:tcW w:w="972" w:type="dxa"/>
            <w:vAlign w:val="bottom"/>
          </w:tcPr>
          <w:p w:rsidR="001F7B65" w:rsidRPr="00572849" w:rsidRDefault="001F7B65">
            <w:pPr>
              <w:jc w:val="center"/>
              <w:rPr>
                <w:color w:val="000000"/>
              </w:rPr>
            </w:pPr>
            <w:r w:rsidRPr="00572849">
              <w:rPr>
                <w:color w:val="000000"/>
              </w:rPr>
              <w:t>7.20</w:t>
            </w:r>
          </w:p>
        </w:tc>
        <w:tc>
          <w:tcPr>
            <w:tcW w:w="1170" w:type="dxa"/>
            <w:vAlign w:val="bottom"/>
          </w:tcPr>
          <w:p w:rsidR="001F7B65" w:rsidRPr="00572849" w:rsidRDefault="001F7B65">
            <w:pPr>
              <w:jc w:val="center"/>
              <w:rPr>
                <w:color w:val="000000"/>
              </w:rPr>
            </w:pPr>
            <w:r w:rsidRPr="00572849">
              <w:rPr>
                <w:color w:val="000000"/>
              </w:rPr>
              <w:t>0.47</w:t>
            </w:r>
          </w:p>
        </w:tc>
        <w:tc>
          <w:tcPr>
            <w:tcW w:w="1170" w:type="dxa"/>
            <w:vAlign w:val="bottom"/>
          </w:tcPr>
          <w:p w:rsidR="001F7B65" w:rsidRPr="00572849" w:rsidRDefault="001F7B65">
            <w:pPr>
              <w:jc w:val="center"/>
              <w:rPr>
                <w:color w:val="000000"/>
              </w:rPr>
            </w:pPr>
            <w:r w:rsidRPr="00572849">
              <w:rPr>
                <w:color w:val="000000"/>
              </w:rPr>
              <w:t>0.33</w:t>
            </w:r>
          </w:p>
        </w:tc>
        <w:tc>
          <w:tcPr>
            <w:tcW w:w="810" w:type="dxa"/>
            <w:vAlign w:val="bottom"/>
          </w:tcPr>
          <w:p w:rsidR="001F7B65" w:rsidRPr="00572849" w:rsidRDefault="001F7B65">
            <w:pPr>
              <w:jc w:val="center"/>
              <w:rPr>
                <w:color w:val="000000"/>
              </w:rPr>
            </w:pPr>
            <w:r w:rsidRPr="00572849">
              <w:rPr>
                <w:color w:val="000000"/>
              </w:rPr>
              <w:t>8.68</w:t>
            </w:r>
          </w:p>
        </w:tc>
        <w:tc>
          <w:tcPr>
            <w:tcW w:w="828" w:type="dxa"/>
            <w:vAlign w:val="bottom"/>
          </w:tcPr>
          <w:p w:rsidR="001F7B65" w:rsidRPr="00572849" w:rsidRDefault="00CA091F">
            <w:pPr>
              <w:jc w:val="center"/>
              <w:rPr>
                <w:color w:val="000000"/>
              </w:rPr>
            </w:pPr>
            <w:r w:rsidRPr="00572849">
              <w:rPr>
                <w:rFonts w:ascii="Symbol" w:hAnsi="Symbol"/>
                <w:color w:val="000000"/>
              </w:rPr>
              <w:t></w:t>
            </w:r>
            <w:r w:rsidR="001F7B65" w:rsidRPr="00572849">
              <w:rPr>
                <w:color w:val="000000"/>
              </w:rPr>
              <w:t>2.41</w:t>
            </w:r>
          </w:p>
        </w:tc>
        <w:tc>
          <w:tcPr>
            <w:tcW w:w="792" w:type="dxa"/>
            <w:vAlign w:val="bottom"/>
          </w:tcPr>
          <w:p w:rsidR="001F7B65" w:rsidRPr="00572849" w:rsidRDefault="001F7B65">
            <w:pPr>
              <w:jc w:val="center"/>
              <w:rPr>
                <w:color w:val="000000"/>
              </w:rPr>
            </w:pPr>
            <w:r w:rsidRPr="00572849">
              <w:rPr>
                <w:color w:val="000000"/>
              </w:rPr>
              <w:t>35.13</w:t>
            </w:r>
          </w:p>
        </w:tc>
        <w:tc>
          <w:tcPr>
            <w:tcW w:w="918" w:type="dxa"/>
            <w:vAlign w:val="bottom"/>
          </w:tcPr>
          <w:p w:rsidR="001F7B65" w:rsidRPr="00572849" w:rsidRDefault="00CA091F">
            <w:pPr>
              <w:jc w:val="center"/>
              <w:rPr>
                <w:color w:val="000000"/>
              </w:rPr>
            </w:pPr>
            <w:r w:rsidRPr="00572849">
              <w:rPr>
                <w:rFonts w:ascii="Symbol" w:hAnsi="Symbol"/>
                <w:color w:val="000000"/>
              </w:rPr>
              <w:t></w:t>
            </w:r>
            <w:r w:rsidR="001F7B65" w:rsidRPr="00572849">
              <w:rPr>
                <w:color w:val="000000"/>
              </w:rPr>
              <w:t>9.53</w:t>
            </w:r>
          </w:p>
        </w:tc>
      </w:tr>
      <w:tr w:rsidR="001F7B65" w:rsidRPr="00572849" w:rsidTr="006C4638">
        <w:tc>
          <w:tcPr>
            <w:tcW w:w="2088" w:type="dxa"/>
            <w:vAlign w:val="bottom"/>
          </w:tcPr>
          <w:p w:rsidR="001F7B65" w:rsidRPr="00572849" w:rsidRDefault="001F7B65">
            <w:pPr>
              <w:rPr>
                <w:i/>
                <w:color w:val="000000"/>
              </w:rPr>
            </w:pPr>
            <w:r w:rsidRPr="00572849">
              <w:rPr>
                <w:i/>
                <w:color w:val="000000"/>
              </w:rPr>
              <w:t>February 9, 2015</w:t>
            </w:r>
          </w:p>
        </w:tc>
        <w:tc>
          <w:tcPr>
            <w:tcW w:w="972" w:type="dxa"/>
            <w:vAlign w:val="bottom"/>
          </w:tcPr>
          <w:p w:rsidR="001F7B65" w:rsidRPr="00572849" w:rsidRDefault="001F7B65">
            <w:pPr>
              <w:jc w:val="center"/>
              <w:rPr>
                <w:color w:val="000000"/>
              </w:rPr>
            </w:pPr>
            <w:r w:rsidRPr="00572849">
              <w:rPr>
                <w:color w:val="000000"/>
              </w:rPr>
              <w:t>6.30</w:t>
            </w:r>
          </w:p>
        </w:tc>
        <w:tc>
          <w:tcPr>
            <w:tcW w:w="1170" w:type="dxa"/>
            <w:vAlign w:val="bottom"/>
          </w:tcPr>
          <w:p w:rsidR="001F7B65" w:rsidRPr="00572849" w:rsidRDefault="001F7B65">
            <w:pPr>
              <w:jc w:val="center"/>
              <w:rPr>
                <w:color w:val="000000"/>
              </w:rPr>
            </w:pPr>
            <w:r w:rsidRPr="00572849">
              <w:rPr>
                <w:color w:val="000000"/>
              </w:rPr>
              <w:t>0.34</w:t>
            </w:r>
          </w:p>
        </w:tc>
        <w:tc>
          <w:tcPr>
            <w:tcW w:w="1170" w:type="dxa"/>
            <w:vAlign w:val="bottom"/>
          </w:tcPr>
          <w:p w:rsidR="001F7B65" w:rsidRPr="00572849" w:rsidRDefault="001F7B65">
            <w:pPr>
              <w:jc w:val="center"/>
              <w:rPr>
                <w:color w:val="000000"/>
              </w:rPr>
            </w:pPr>
            <w:r w:rsidRPr="00572849">
              <w:rPr>
                <w:color w:val="000000"/>
              </w:rPr>
              <w:t>0.13</w:t>
            </w:r>
          </w:p>
        </w:tc>
        <w:tc>
          <w:tcPr>
            <w:tcW w:w="810" w:type="dxa"/>
            <w:vAlign w:val="bottom"/>
          </w:tcPr>
          <w:p w:rsidR="001F7B65" w:rsidRPr="00572849" w:rsidRDefault="001F7B65">
            <w:pPr>
              <w:jc w:val="center"/>
              <w:rPr>
                <w:color w:val="000000"/>
              </w:rPr>
            </w:pPr>
            <w:r w:rsidRPr="00572849">
              <w:rPr>
                <w:color w:val="000000"/>
              </w:rPr>
              <w:t>16.10</w:t>
            </w:r>
          </w:p>
        </w:tc>
        <w:tc>
          <w:tcPr>
            <w:tcW w:w="828" w:type="dxa"/>
            <w:vAlign w:val="bottom"/>
          </w:tcPr>
          <w:p w:rsidR="001F7B65" w:rsidRPr="00572849" w:rsidRDefault="00CA091F">
            <w:pPr>
              <w:jc w:val="center"/>
              <w:rPr>
                <w:color w:val="000000"/>
              </w:rPr>
            </w:pPr>
            <w:r w:rsidRPr="00572849">
              <w:rPr>
                <w:rFonts w:ascii="Symbol" w:hAnsi="Symbol"/>
                <w:color w:val="000000"/>
              </w:rPr>
              <w:t></w:t>
            </w:r>
            <w:r w:rsidR="001F7B65" w:rsidRPr="00572849">
              <w:rPr>
                <w:color w:val="000000"/>
              </w:rPr>
              <w:t>1.17</w:t>
            </w:r>
          </w:p>
        </w:tc>
        <w:tc>
          <w:tcPr>
            <w:tcW w:w="792" w:type="dxa"/>
            <w:vAlign w:val="bottom"/>
          </w:tcPr>
          <w:p w:rsidR="001F7B65" w:rsidRPr="00572849" w:rsidRDefault="001F7B65">
            <w:pPr>
              <w:jc w:val="center"/>
              <w:rPr>
                <w:color w:val="000000"/>
              </w:rPr>
            </w:pPr>
            <w:r w:rsidRPr="00572849">
              <w:rPr>
                <w:color w:val="000000"/>
              </w:rPr>
              <w:t>4.13</w:t>
            </w:r>
          </w:p>
        </w:tc>
        <w:tc>
          <w:tcPr>
            <w:tcW w:w="918" w:type="dxa"/>
            <w:vAlign w:val="bottom"/>
          </w:tcPr>
          <w:p w:rsidR="001F7B65" w:rsidRPr="00572849" w:rsidRDefault="00CA091F">
            <w:pPr>
              <w:jc w:val="center"/>
              <w:rPr>
                <w:color w:val="000000"/>
              </w:rPr>
            </w:pPr>
            <w:r w:rsidRPr="00572849">
              <w:rPr>
                <w:rFonts w:ascii="Symbol" w:hAnsi="Symbol"/>
                <w:color w:val="000000"/>
              </w:rPr>
              <w:t></w:t>
            </w:r>
            <w:r w:rsidR="001F7B65" w:rsidRPr="00572849">
              <w:rPr>
                <w:color w:val="000000"/>
              </w:rPr>
              <w:t>0.17</w:t>
            </w:r>
          </w:p>
        </w:tc>
      </w:tr>
      <w:tr w:rsidR="001F7B65" w:rsidRPr="00572849" w:rsidTr="006C4638">
        <w:tc>
          <w:tcPr>
            <w:tcW w:w="2088" w:type="dxa"/>
            <w:vAlign w:val="bottom"/>
          </w:tcPr>
          <w:p w:rsidR="001F7B65" w:rsidRPr="00572849" w:rsidRDefault="001F7B65">
            <w:pPr>
              <w:rPr>
                <w:i/>
                <w:color w:val="000000"/>
              </w:rPr>
            </w:pPr>
            <w:r w:rsidRPr="00572849">
              <w:rPr>
                <w:i/>
                <w:color w:val="000000"/>
              </w:rPr>
              <w:t>September 3, 2015</w:t>
            </w:r>
          </w:p>
        </w:tc>
        <w:tc>
          <w:tcPr>
            <w:tcW w:w="972" w:type="dxa"/>
            <w:vAlign w:val="bottom"/>
          </w:tcPr>
          <w:p w:rsidR="001F7B65" w:rsidRPr="00572849" w:rsidRDefault="001F7B65">
            <w:pPr>
              <w:jc w:val="center"/>
              <w:rPr>
                <w:color w:val="000000"/>
              </w:rPr>
            </w:pPr>
            <w:r w:rsidRPr="00572849">
              <w:rPr>
                <w:color w:val="000000"/>
              </w:rPr>
              <w:t>6.74</w:t>
            </w:r>
          </w:p>
        </w:tc>
        <w:tc>
          <w:tcPr>
            <w:tcW w:w="1170" w:type="dxa"/>
            <w:vAlign w:val="bottom"/>
          </w:tcPr>
          <w:p w:rsidR="001F7B65" w:rsidRPr="00572849" w:rsidRDefault="001F7B65">
            <w:pPr>
              <w:jc w:val="center"/>
              <w:rPr>
                <w:color w:val="000000"/>
              </w:rPr>
            </w:pPr>
            <w:r w:rsidRPr="00572849">
              <w:rPr>
                <w:color w:val="000000"/>
              </w:rPr>
              <w:t>0.76</w:t>
            </w:r>
          </w:p>
        </w:tc>
        <w:tc>
          <w:tcPr>
            <w:tcW w:w="1170" w:type="dxa"/>
            <w:vAlign w:val="bottom"/>
          </w:tcPr>
          <w:p w:rsidR="001F7B65" w:rsidRPr="00572849" w:rsidRDefault="001F7B65">
            <w:pPr>
              <w:jc w:val="center"/>
              <w:rPr>
                <w:color w:val="000000"/>
              </w:rPr>
            </w:pPr>
            <w:r w:rsidRPr="00572849">
              <w:rPr>
                <w:color w:val="000000"/>
              </w:rPr>
              <w:t>1.22</w:t>
            </w:r>
          </w:p>
        </w:tc>
        <w:tc>
          <w:tcPr>
            <w:tcW w:w="810" w:type="dxa"/>
            <w:vAlign w:val="bottom"/>
          </w:tcPr>
          <w:p w:rsidR="001F7B65" w:rsidRPr="00572849" w:rsidRDefault="001F7B65">
            <w:pPr>
              <w:jc w:val="center"/>
              <w:rPr>
                <w:color w:val="000000"/>
              </w:rPr>
            </w:pPr>
            <w:r w:rsidRPr="00572849">
              <w:rPr>
                <w:color w:val="000000"/>
              </w:rPr>
              <w:t>5.57</w:t>
            </w:r>
          </w:p>
        </w:tc>
        <w:tc>
          <w:tcPr>
            <w:tcW w:w="828" w:type="dxa"/>
            <w:vAlign w:val="bottom"/>
          </w:tcPr>
          <w:p w:rsidR="001F7B65" w:rsidRPr="00572849" w:rsidRDefault="00CA091F">
            <w:pPr>
              <w:jc w:val="center"/>
              <w:rPr>
                <w:color w:val="000000"/>
              </w:rPr>
            </w:pPr>
            <w:r w:rsidRPr="00572849">
              <w:rPr>
                <w:rFonts w:ascii="Symbol" w:hAnsi="Symbol"/>
                <w:color w:val="000000"/>
              </w:rPr>
              <w:t></w:t>
            </w:r>
            <w:r w:rsidR="001F7B65" w:rsidRPr="00572849">
              <w:rPr>
                <w:color w:val="000000"/>
              </w:rPr>
              <w:t>2.58</w:t>
            </w:r>
          </w:p>
        </w:tc>
        <w:tc>
          <w:tcPr>
            <w:tcW w:w="792" w:type="dxa"/>
            <w:vAlign w:val="bottom"/>
          </w:tcPr>
          <w:p w:rsidR="001F7B65" w:rsidRPr="00572849" w:rsidRDefault="001F7B65">
            <w:pPr>
              <w:jc w:val="center"/>
              <w:rPr>
                <w:color w:val="000000"/>
              </w:rPr>
            </w:pPr>
            <w:r w:rsidRPr="00572849">
              <w:rPr>
                <w:color w:val="000000"/>
              </w:rPr>
              <w:t>25.21</w:t>
            </w:r>
          </w:p>
        </w:tc>
        <w:tc>
          <w:tcPr>
            <w:tcW w:w="918" w:type="dxa"/>
            <w:vAlign w:val="bottom"/>
          </w:tcPr>
          <w:p w:rsidR="001F7B65" w:rsidRPr="00572849" w:rsidRDefault="00CA091F">
            <w:pPr>
              <w:jc w:val="center"/>
              <w:rPr>
                <w:color w:val="000000"/>
              </w:rPr>
            </w:pPr>
            <w:r w:rsidRPr="00572849">
              <w:rPr>
                <w:rFonts w:ascii="Symbol" w:hAnsi="Symbol"/>
                <w:color w:val="000000"/>
              </w:rPr>
              <w:t></w:t>
            </w:r>
            <w:r w:rsidR="001F7B65" w:rsidRPr="00572849">
              <w:rPr>
                <w:color w:val="000000"/>
              </w:rPr>
              <w:t>5.72</w:t>
            </w:r>
          </w:p>
        </w:tc>
      </w:tr>
      <w:tr w:rsidR="001F7B65" w:rsidRPr="00572849" w:rsidTr="006C4638">
        <w:tc>
          <w:tcPr>
            <w:tcW w:w="2088" w:type="dxa"/>
            <w:vMerge w:val="restart"/>
            <w:vAlign w:val="bottom"/>
          </w:tcPr>
          <w:p w:rsidR="001F7B65" w:rsidRPr="00572849" w:rsidRDefault="001F7B65">
            <w:pPr>
              <w:rPr>
                <w:color w:val="000000"/>
              </w:rPr>
            </w:pPr>
          </w:p>
        </w:tc>
        <w:tc>
          <w:tcPr>
            <w:tcW w:w="972" w:type="dxa"/>
            <w:vAlign w:val="bottom"/>
          </w:tcPr>
          <w:p w:rsidR="001F7B65" w:rsidRPr="00572849" w:rsidRDefault="001F7B65">
            <w:pPr>
              <w:jc w:val="center"/>
              <w:rPr>
                <w:color w:val="000000"/>
              </w:rPr>
            </w:pPr>
            <w:r w:rsidRPr="00572849">
              <w:rPr>
                <w:color w:val="000000"/>
              </w:rPr>
              <w:t>7.71</w:t>
            </w:r>
          </w:p>
        </w:tc>
        <w:tc>
          <w:tcPr>
            <w:tcW w:w="1170" w:type="dxa"/>
            <w:vAlign w:val="bottom"/>
          </w:tcPr>
          <w:p w:rsidR="001F7B65" w:rsidRPr="00572849" w:rsidRDefault="001F7B65">
            <w:pPr>
              <w:jc w:val="center"/>
              <w:rPr>
                <w:color w:val="000000"/>
              </w:rPr>
            </w:pPr>
            <w:r w:rsidRPr="00572849">
              <w:rPr>
                <w:color w:val="000000"/>
              </w:rPr>
              <w:t>0.65</w:t>
            </w:r>
          </w:p>
        </w:tc>
        <w:tc>
          <w:tcPr>
            <w:tcW w:w="1170" w:type="dxa"/>
            <w:vAlign w:val="bottom"/>
          </w:tcPr>
          <w:p w:rsidR="001F7B65" w:rsidRPr="00572849" w:rsidRDefault="001F7B65">
            <w:pPr>
              <w:jc w:val="center"/>
              <w:rPr>
                <w:color w:val="000000"/>
              </w:rPr>
            </w:pPr>
            <w:r w:rsidRPr="00572849">
              <w:rPr>
                <w:color w:val="000000"/>
              </w:rPr>
              <w:t>1.17</w:t>
            </w:r>
          </w:p>
        </w:tc>
        <w:tc>
          <w:tcPr>
            <w:tcW w:w="810" w:type="dxa"/>
            <w:vAlign w:val="bottom"/>
          </w:tcPr>
          <w:p w:rsidR="001F7B65" w:rsidRPr="00572849" w:rsidRDefault="001F7B65">
            <w:pPr>
              <w:jc w:val="center"/>
              <w:rPr>
                <w:color w:val="000000"/>
              </w:rPr>
            </w:pPr>
            <w:r w:rsidRPr="00572849">
              <w:rPr>
                <w:color w:val="000000"/>
              </w:rPr>
              <w:t>6.40</w:t>
            </w:r>
          </w:p>
        </w:tc>
        <w:tc>
          <w:tcPr>
            <w:tcW w:w="828" w:type="dxa"/>
            <w:vAlign w:val="bottom"/>
          </w:tcPr>
          <w:p w:rsidR="001F7B65" w:rsidRPr="00572849" w:rsidRDefault="00CA091F">
            <w:pPr>
              <w:jc w:val="center"/>
              <w:rPr>
                <w:color w:val="000000"/>
              </w:rPr>
            </w:pPr>
            <w:r w:rsidRPr="00572849">
              <w:rPr>
                <w:rFonts w:ascii="Symbol" w:hAnsi="Symbol"/>
                <w:color w:val="000000"/>
              </w:rPr>
              <w:t></w:t>
            </w:r>
            <w:r w:rsidR="001F7B65" w:rsidRPr="00572849">
              <w:rPr>
                <w:color w:val="000000"/>
              </w:rPr>
              <w:t>2.44</w:t>
            </w:r>
          </w:p>
        </w:tc>
        <w:tc>
          <w:tcPr>
            <w:tcW w:w="792" w:type="dxa"/>
            <w:vAlign w:val="bottom"/>
          </w:tcPr>
          <w:p w:rsidR="001F7B65" w:rsidRPr="00572849" w:rsidRDefault="001F7B65">
            <w:pPr>
              <w:jc w:val="center"/>
              <w:rPr>
                <w:color w:val="000000"/>
              </w:rPr>
            </w:pPr>
            <w:r w:rsidRPr="00572849">
              <w:rPr>
                <w:color w:val="000000"/>
              </w:rPr>
              <w:t>16.09</w:t>
            </w:r>
          </w:p>
        </w:tc>
        <w:tc>
          <w:tcPr>
            <w:tcW w:w="918" w:type="dxa"/>
            <w:vAlign w:val="bottom"/>
          </w:tcPr>
          <w:p w:rsidR="001F7B65" w:rsidRPr="00572849" w:rsidRDefault="00CA091F">
            <w:pPr>
              <w:jc w:val="center"/>
              <w:rPr>
                <w:color w:val="000000"/>
              </w:rPr>
            </w:pPr>
            <w:r w:rsidRPr="00572849">
              <w:rPr>
                <w:rFonts w:ascii="Symbol" w:hAnsi="Symbol"/>
                <w:color w:val="000000"/>
              </w:rPr>
              <w:t></w:t>
            </w:r>
            <w:r w:rsidR="001F7B65" w:rsidRPr="00572849">
              <w:rPr>
                <w:color w:val="000000"/>
              </w:rPr>
              <w:t>3.78</w:t>
            </w:r>
          </w:p>
        </w:tc>
      </w:tr>
      <w:tr w:rsidR="001F7B65" w:rsidRPr="00572849" w:rsidTr="006C4638">
        <w:tc>
          <w:tcPr>
            <w:tcW w:w="2088" w:type="dxa"/>
            <w:vMerge/>
            <w:vAlign w:val="bottom"/>
          </w:tcPr>
          <w:p w:rsidR="001F7B65" w:rsidRPr="00572849" w:rsidRDefault="001F7B65">
            <w:pPr>
              <w:rPr>
                <w:rFonts w:ascii="Calibri" w:hAnsi="Calibri"/>
                <w:color w:val="000000"/>
                <w:sz w:val="22"/>
                <w:szCs w:val="22"/>
              </w:rPr>
            </w:pPr>
          </w:p>
        </w:tc>
        <w:tc>
          <w:tcPr>
            <w:tcW w:w="972" w:type="dxa"/>
            <w:vAlign w:val="bottom"/>
          </w:tcPr>
          <w:p w:rsidR="001F7B65" w:rsidRPr="00572849" w:rsidRDefault="001F7B65">
            <w:pPr>
              <w:jc w:val="center"/>
              <w:rPr>
                <w:color w:val="000000"/>
              </w:rPr>
            </w:pPr>
            <w:r w:rsidRPr="00572849">
              <w:rPr>
                <w:color w:val="000000"/>
              </w:rPr>
              <w:t>8.32</w:t>
            </w:r>
          </w:p>
        </w:tc>
        <w:tc>
          <w:tcPr>
            <w:tcW w:w="1170" w:type="dxa"/>
            <w:vAlign w:val="bottom"/>
          </w:tcPr>
          <w:p w:rsidR="001F7B65" w:rsidRPr="00572849" w:rsidRDefault="001F7B65">
            <w:pPr>
              <w:jc w:val="center"/>
              <w:rPr>
                <w:color w:val="000000"/>
              </w:rPr>
            </w:pPr>
            <w:r w:rsidRPr="00572849">
              <w:rPr>
                <w:color w:val="000000"/>
              </w:rPr>
              <w:t>0.68</w:t>
            </w:r>
          </w:p>
        </w:tc>
        <w:tc>
          <w:tcPr>
            <w:tcW w:w="1170" w:type="dxa"/>
            <w:vAlign w:val="bottom"/>
          </w:tcPr>
          <w:p w:rsidR="001F7B65" w:rsidRPr="00572849" w:rsidRDefault="001F7B65">
            <w:pPr>
              <w:jc w:val="center"/>
              <w:rPr>
                <w:color w:val="000000"/>
              </w:rPr>
            </w:pPr>
            <w:r w:rsidRPr="00572849">
              <w:rPr>
                <w:color w:val="000000"/>
              </w:rPr>
              <w:t>1.15</w:t>
            </w:r>
          </w:p>
        </w:tc>
        <w:tc>
          <w:tcPr>
            <w:tcW w:w="810" w:type="dxa"/>
            <w:vAlign w:val="bottom"/>
          </w:tcPr>
          <w:p w:rsidR="001F7B65" w:rsidRPr="00572849" w:rsidRDefault="001F7B65">
            <w:pPr>
              <w:jc w:val="center"/>
              <w:rPr>
                <w:color w:val="000000"/>
              </w:rPr>
            </w:pPr>
            <w:r w:rsidRPr="00572849">
              <w:rPr>
                <w:color w:val="000000"/>
              </w:rPr>
              <w:t>7.94</w:t>
            </w:r>
          </w:p>
        </w:tc>
        <w:tc>
          <w:tcPr>
            <w:tcW w:w="828" w:type="dxa"/>
            <w:vAlign w:val="bottom"/>
          </w:tcPr>
          <w:p w:rsidR="001F7B65" w:rsidRPr="00572849" w:rsidRDefault="00CA091F">
            <w:pPr>
              <w:jc w:val="center"/>
              <w:rPr>
                <w:color w:val="000000"/>
              </w:rPr>
            </w:pPr>
            <w:r w:rsidRPr="00572849">
              <w:rPr>
                <w:rFonts w:ascii="Symbol" w:hAnsi="Symbol"/>
                <w:color w:val="000000"/>
              </w:rPr>
              <w:t></w:t>
            </w:r>
            <w:r w:rsidR="001F7B65" w:rsidRPr="00572849">
              <w:rPr>
                <w:color w:val="000000"/>
              </w:rPr>
              <w:t>2.66</w:t>
            </w:r>
          </w:p>
        </w:tc>
        <w:tc>
          <w:tcPr>
            <w:tcW w:w="792" w:type="dxa"/>
            <w:vAlign w:val="bottom"/>
          </w:tcPr>
          <w:p w:rsidR="001F7B65" w:rsidRPr="00572849" w:rsidRDefault="001F7B65">
            <w:pPr>
              <w:jc w:val="center"/>
              <w:rPr>
                <w:color w:val="000000"/>
              </w:rPr>
            </w:pPr>
            <w:r w:rsidRPr="00572849">
              <w:rPr>
                <w:color w:val="000000"/>
              </w:rPr>
              <w:t>12.48</w:t>
            </w:r>
          </w:p>
        </w:tc>
        <w:tc>
          <w:tcPr>
            <w:tcW w:w="918" w:type="dxa"/>
            <w:vAlign w:val="bottom"/>
          </w:tcPr>
          <w:p w:rsidR="001F7B65" w:rsidRPr="00572849" w:rsidRDefault="00CA091F">
            <w:pPr>
              <w:jc w:val="center"/>
              <w:rPr>
                <w:color w:val="000000"/>
              </w:rPr>
            </w:pPr>
            <w:r w:rsidRPr="00572849">
              <w:rPr>
                <w:rFonts w:ascii="Symbol" w:hAnsi="Symbol"/>
                <w:color w:val="000000"/>
              </w:rPr>
              <w:t></w:t>
            </w:r>
            <w:r w:rsidR="001F7B65" w:rsidRPr="00572849">
              <w:rPr>
                <w:color w:val="000000"/>
              </w:rPr>
              <w:t>3.03</w:t>
            </w:r>
          </w:p>
        </w:tc>
      </w:tr>
    </w:tbl>
    <w:p w:rsidR="00602565" w:rsidRPr="00572849" w:rsidRDefault="00602565" w:rsidP="00FE01DA">
      <w:pPr>
        <w:jc w:val="both"/>
      </w:pPr>
    </w:p>
    <w:p w:rsidR="00925250" w:rsidRPr="00572849" w:rsidRDefault="00925250" w:rsidP="00FE01DA">
      <w:pPr>
        <w:jc w:val="both"/>
        <w:rPr>
          <w:b/>
          <w:sz w:val="28"/>
        </w:rPr>
      </w:pPr>
      <w:r w:rsidRPr="00572849">
        <w:rPr>
          <w:b/>
          <w:sz w:val="28"/>
        </w:rPr>
        <w:t>Summary</w:t>
      </w:r>
    </w:p>
    <w:p w:rsidR="00A845EE" w:rsidRPr="00572849" w:rsidRDefault="00A845EE" w:rsidP="00FE01DA">
      <w:pPr>
        <w:jc w:val="both"/>
      </w:pPr>
    </w:p>
    <w:p w:rsidR="00A845EE" w:rsidRPr="00572849" w:rsidRDefault="00A845EE" w:rsidP="00FE01DA">
      <w:pPr>
        <w:jc w:val="both"/>
      </w:pPr>
      <w:r w:rsidRPr="00572849">
        <w:t>By wa</w:t>
      </w:r>
      <w:r w:rsidR="002B6987" w:rsidRPr="00572849">
        <w:t xml:space="preserve">y of summary, we offer </w:t>
      </w:r>
      <w:r w:rsidR="006E2390" w:rsidRPr="00572849">
        <w:t>a</w:t>
      </w:r>
      <w:r w:rsidRPr="00572849">
        <w:t xml:space="preserve"> few comment</w:t>
      </w:r>
      <w:r w:rsidR="002B6987" w:rsidRPr="00572849">
        <w:t>s and suggestions</w:t>
      </w:r>
      <w:r w:rsidRPr="00572849">
        <w:t>:</w:t>
      </w:r>
    </w:p>
    <w:p w:rsidR="00525CAA" w:rsidRPr="00572849" w:rsidRDefault="00525CAA" w:rsidP="003300FC">
      <w:pPr>
        <w:jc w:val="both"/>
        <w:rPr>
          <w:sz w:val="22"/>
        </w:rPr>
      </w:pPr>
    </w:p>
    <w:p w:rsidR="003C0966" w:rsidRPr="00572849" w:rsidRDefault="003C0966" w:rsidP="003C0966">
      <w:pPr>
        <w:pStyle w:val="ListParagraph"/>
        <w:numPr>
          <w:ilvl w:val="0"/>
          <w:numId w:val="8"/>
        </w:numPr>
        <w:jc w:val="both"/>
      </w:pPr>
      <w:r w:rsidRPr="00572849">
        <w:t>The measurements for the Bubble Chamber experiment (September 3, 2015) were valuable inputs to the elegant model used to tune the optics of the 5D line. Because data was taken at several energy setpoints, we were able to get an idea of how Twiss parameters evolve as a function of energy (see Appendix B). Figure 2 illustrates an example of how the measurements provided the required input to the model which then provided guidance for tuning the 5D line [</w:t>
      </w:r>
      <w:r w:rsidR="00572849">
        <w:t>7</w:t>
      </w:r>
      <w:r w:rsidRPr="00572849">
        <w:t xml:space="preserve">]. Though quantitative comparison was not possible at the time, the elegant model tracked the observed beam behavior (i.e. spot sizes at various viewers) quite well. </w:t>
      </w:r>
    </w:p>
    <w:p w:rsidR="003C0966" w:rsidRPr="00572849" w:rsidRDefault="003C0966" w:rsidP="003C0966">
      <w:pPr>
        <w:pStyle w:val="ListParagraph"/>
        <w:jc w:val="both"/>
      </w:pPr>
    </w:p>
    <w:p w:rsidR="003C0966" w:rsidRPr="00572849" w:rsidRDefault="003C0966" w:rsidP="003C0966">
      <w:pPr>
        <w:ind w:firstLine="540"/>
        <w:jc w:val="center"/>
        <w:rPr>
          <w:noProof/>
        </w:rPr>
      </w:pPr>
      <w:r w:rsidRPr="00572849">
        <w:rPr>
          <w:noProof/>
        </w:rPr>
        <w:drawing>
          <wp:inline distT="0" distB="0" distL="0" distR="0" wp14:anchorId="539F8782" wp14:editId="2A1E5E0B">
            <wp:extent cx="2286000" cy="2089365"/>
            <wp:effectExtent l="0" t="0" r="0" b="6350"/>
            <wp:docPr id="4" name="Picture 4" descr="C:\Users\tennant\Deskto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ennant\Desktop\a.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0" cy="2089365"/>
                    </a:xfrm>
                    <a:prstGeom prst="rect">
                      <a:avLst/>
                    </a:prstGeom>
                    <a:noFill/>
                    <a:ln>
                      <a:noFill/>
                    </a:ln>
                  </pic:spPr>
                </pic:pic>
              </a:graphicData>
            </a:graphic>
          </wp:inline>
        </w:drawing>
      </w:r>
      <w:r w:rsidRPr="00572849">
        <w:rPr>
          <w:noProof/>
        </w:rPr>
        <w:t xml:space="preserve">  </w:t>
      </w:r>
      <w:r w:rsidRPr="00572849">
        <w:rPr>
          <w:noProof/>
        </w:rPr>
        <w:drawing>
          <wp:inline distT="0" distB="0" distL="0" distR="0" wp14:anchorId="6A0AA156" wp14:editId="34DC5C2D">
            <wp:extent cx="2286000" cy="2090316"/>
            <wp:effectExtent l="0" t="0" r="0" b="5715"/>
            <wp:docPr id="5" name="Picture 5" descr="C:\Users\tennant\Desktop\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ennant\Desktop\b.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0" cy="2090316"/>
                    </a:xfrm>
                    <a:prstGeom prst="rect">
                      <a:avLst/>
                    </a:prstGeom>
                    <a:noFill/>
                    <a:ln>
                      <a:noFill/>
                    </a:ln>
                  </pic:spPr>
                </pic:pic>
              </a:graphicData>
            </a:graphic>
          </wp:inline>
        </w:drawing>
      </w:r>
    </w:p>
    <w:p w:rsidR="003C0966" w:rsidRPr="00572849" w:rsidRDefault="003C0966" w:rsidP="003C0966">
      <w:pPr>
        <w:jc w:val="center"/>
        <w:rPr>
          <w:noProof/>
        </w:rPr>
      </w:pPr>
    </w:p>
    <w:p w:rsidR="003C0966" w:rsidRPr="00572849" w:rsidRDefault="003C0966" w:rsidP="003C0966">
      <w:pPr>
        <w:ind w:left="1080" w:right="720"/>
        <w:jc w:val="both"/>
        <w:rPr>
          <w:sz w:val="20"/>
        </w:rPr>
      </w:pPr>
      <w:r w:rsidRPr="00572849">
        <w:rPr>
          <w:noProof/>
          <w:sz w:val="20"/>
        </w:rPr>
        <w:t xml:space="preserve">Figure 2: Beam image at ITV5D01 before (left) and after (right) model-driven changes to transverse focusing. (Note, the less intense spot on the viewer in the left image is from persistence). </w:t>
      </w:r>
    </w:p>
    <w:p w:rsidR="003C0966" w:rsidRPr="00572849" w:rsidRDefault="003C0966" w:rsidP="003C0966">
      <w:pPr>
        <w:pStyle w:val="ListParagraph"/>
        <w:jc w:val="both"/>
      </w:pPr>
    </w:p>
    <w:p w:rsidR="00AA48F6" w:rsidRPr="00572849" w:rsidRDefault="00AA48F6" w:rsidP="00AA48F6">
      <w:pPr>
        <w:pStyle w:val="ListParagraph"/>
        <w:numPr>
          <w:ilvl w:val="0"/>
          <w:numId w:val="8"/>
        </w:numPr>
        <w:jc w:val="both"/>
      </w:pPr>
      <w:r w:rsidRPr="00572849">
        <w:t>Although the momentum differs by the ~0.5 MeV/c, the comparison between the February 9 and Se</w:t>
      </w:r>
      <w:r w:rsidR="003C0966" w:rsidRPr="00572849">
        <w:t>ptember 3, 2015 measurements will be</w:t>
      </w:r>
      <w:r w:rsidRPr="00572849">
        <w:t xml:space="preserve"> interesting to some and troubling to others. The horizontal emittance grows by a factor of ~2 and the vertical emittance grows by an order of magnitude. What changes in the front end occurred during that time period? Is this a new kind of injector setup? Is this related to the drive laser?</w:t>
      </w:r>
    </w:p>
    <w:p w:rsidR="00227B89" w:rsidRPr="00572849" w:rsidRDefault="009A38FE" w:rsidP="009A38FE">
      <w:pPr>
        <w:pStyle w:val="ListParagraph"/>
        <w:numPr>
          <w:ilvl w:val="0"/>
          <w:numId w:val="8"/>
        </w:numPr>
        <w:jc w:val="both"/>
      </w:pPr>
      <w:r w:rsidRPr="00572849">
        <w:t>A good understanding of the quarter cryounit, namely how it affects the beam dynamics, remains elusive. It is well known that trapped fields in cavity end groups can cause focusing (quadrupole and skew quadrupole) and steering (dipole) effects [</w:t>
      </w:r>
      <w:r w:rsidR="00572849">
        <w:t>8</w:t>
      </w:r>
      <w:r w:rsidRPr="00572849">
        <w:t>].</w:t>
      </w:r>
      <w:r w:rsidR="00E71723" w:rsidRPr="00572849">
        <w:t xml:space="preserve"> For instance the measurements from April 19, 2014 show that between 4.0 and 6.3 MeV/c the beam properties change in a significant way; the vertical emittance grows by a factor of ~2 while the horizontal beta funct</w:t>
      </w:r>
      <w:r w:rsidR="005169BB" w:rsidRPr="00572849">
        <w:t>ion decreases by a factor of ~2, the beam becomes less</w:t>
      </w:r>
      <w:r w:rsidR="005C1D2F" w:rsidRPr="00572849">
        <w:t xml:space="preserve"> (more) </w:t>
      </w:r>
      <w:r w:rsidR="005169BB" w:rsidRPr="00572849">
        <w:t xml:space="preserve">divergent </w:t>
      </w:r>
      <w:r w:rsidR="005C1D2F" w:rsidRPr="00572849">
        <w:t>horizontally (</w:t>
      </w:r>
      <w:r w:rsidR="005169BB" w:rsidRPr="00572849">
        <w:t>vertically</w:t>
      </w:r>
      <w:r w:rsidR="005C1D2F" w:rsidRPr="00572849">
        <w:t>)</w:t>
      </w:r>
      <w:r w:rsidR="005169BB" w:rsidRPr="00572849">
        <w:t>. The choice of cavity gradients used for each energy setpoint will have a significant impact on the beam dynamics by changing the RF focusing and the strength of other (undesirable) fields.</w:t>
      </w:r>
      <w:r w:rsidR="005C1D2F" w:rsidRPr="00572849">
        <w:t xml:space="preserve"> Having a model-driven understanding to reliably predict those results should be the goal.</w:t>
      </w:r>
    </w:p>
    <w:p w:rsidR="00B20D5A" w:rsidRPr="00572849" w:rsidRDefault="00503072" w:rsidP="00B20D5A">
      <w:pPr>
        <w:pStyle w:val="ListParagraph"/>
        <w:numPr>
          <w:ilvl w:val="0"/>
          <w:numId w:val="8"/>
        </w:numPr>
        <w:jc w:val="both"/>
      </w:pPr>
      <w:r w:rsidRPr="00572849">
        <w:t>While ultimately a detailed 3D model of the quarter cryounit would be desirable, another way to gain insight into its behavior is to compare emittances and Twiss parame</w:t>
      </w:r>
      <w:r w:rsidR="00BA2E58" w:rsidRPr="00572849">
        <w:t xml:space="preserve">ters at the entrance and exit. A novel technique to characterize the beam upstream of the cryounit has been exercised in a proof-of-principle measurement by </w:t>
      </w:r>
      <w:r w:rsidRPr="00572849">
        <w:t>J. Grames</w:t>
      </w:r>
      <w:r w:rsidR="005C1D2F" w:rsidRPr="00572849">
        <w:t xml:space="preserve"> [</w:t>
      </w:r>
      <w:r w:rsidR="00572849">
        <w:t>9</w:t>
      </w:r>
      <w:r w:rsidR="005C1D2F" w:rsidRPr="00572849">
        <w:t>]</w:t>
      </w:r>
      <w:r w:rsidR="00BA2E58" w:rsidRPr="00572849">
        <w:t>. Though this may only offer a rough measurement, it would provide much n</w:t>
      </w:r>
      <w:r w:rsidR="00D8550D" w:rsidRPr="00572849">
        <w:t>eeded insight into the mystery that is</w:t>
      </w:r>
      <w:r w:rsidR="00BA2E58" w:rsidRPr="00572849">
        <w:t xml:space="preserve"> the cryounit.</w:t>
      </w:r>
    </w:p>
    <w:p w:rsidR="002A0EA3" w:rsidRPr="00572849" w:rsidRDefault="00D47E40" w:rsidP="005315A0">
      <w:pPr>
        <w:pStyle w:val="ListParagraph"/>
        <w:numPr>
          <w:ilvl w:val="0"/>
          <w:numId w:val="8"/>
        </w:numPr>
        <w:jc w:val="both"/>
      </w:pPr>
      <w:r w:rsidRPr="00572849">
        <w:t>As a final suggestion, it is recommended</w:t>
      </w:r>
      <w:r w:rsidR="009A4E65" w:rsidRPr="00572849">
        <w:t xml:space="preserve"> that a shared document be established where all emittance measurements are recorded. </w:t>
      </w:r>
      <w:r w:rsidR="00AA48F6" w:rsidRPr="00572849">
        <w:t>Further, it would</w:t>
      </w:r>
      <w:r w:rsidR="009A4E65" w:rsidRPr="00572849">
        <w:t xml:space="preserve"> be prudent to measure the emittance and Twiss parameters in the 5 MeV region on a more regularly basis. With the zig-zag method available, the t</w:t>
      </w:r>
      <w:r w:rsidRPr="00572849">
        <w:t xml:space="preserve">ime to do such a measurement </w:t>
      </w:r>
      <w:r w:rsidR="009A4E65" w:rsidRPr="00572849">
        <w:t xml:space="preserve">no longer </w:t>
      </w:r>
      <w:r w:rsidRPr="00572849">
        <w:t xml:space="preserve">becomes </w:t>
      </w:r>
      <w:r w:rsidR="009A4E65" w:rsidRPr="00572849">
        <w:t xml:space="preserve">prohibitive. </w:t>
      </w:r>
      <w:r w:rsidRPr="00572849">
        <w:t>The measurement should especially be done after an injector setup or if major changes are made upstream (e.g. energy change, new/different drive laser</w:t>
      </w:r>
      <w:r w:rsidR="00AA48F6" w:rsidRPr="00572849">
        <w:t xml:space="preserve">, </w:t>
      </w:r>
      <w:r w:rsidR="003C0966" w:rsidRPr="00572849">
        <w:t xml:space="preserve">hardware modifications, </w:t>
      </w:r>
      <w:r w:rsidR="00AA48F6" w:rsidRPr="00572849">
        <w:t>etc.</w:t>
      </w:r>
      <w:r w:rsidRPr="00572849">
        <w:t>).</w:t>
      </w:r>
    </w:p>
    <w:p w:rsidR="00827BA8" w:rsidRPr="00572849" w:rsidRDefault="00827BA8" w:rsidP="00827BA8">
      <w:pPr>
        <w:rPr>
          <w:b/>
          <w:sz w:val="28"/>
          <w:szCs w:val="28"/>
        </w:rPr>
      </w:pPr>
      <w:r w:rsidRPr="00572849">
        <w:rPr>
          <w:b/>
          <w:sz w:val="28"/>
          <w:szCs w:val="28"/>
        </w:rPr>
        <w:t>References</w:t>
      </w:r>
    </w:p>
    <w:p w:rsidR="00CD0789" w:rsidRPr="00572849" w:rsidRDefault="00CD0789" w:rsidP="00C5593D">
      <w:pPr>
        <w:jc w:val="both"/>
      </w:pPr>
    </w:p>
    <w:p w:rsidR="001B2CB4" w:rsidRPr="00572849" w:rsidRDefault="004C2C6C" w:rsidP="00C5593D">
      <w:pPr>
        <w:ind w:left="720" w:hanging="720"/>
        <w:jc w:val="both"/>
      </w:pPr>
      <w:r w:rsidRPr="00572849">
        <w:t>[1</w:t>
      </w:r>
      <w:r w:rsidR="001B2CB4" w:rsidRPr="00572849">
        <w:t>]</w:t>
      </w:r>
      <w:r w:rsidR="001B2CB4" w:rsidRPr="00572849">
        <w:tab/>
        <w:t>M. Borland</w:t>
      </w:r>
      <w:r w:rsidR="00075F2B" w:rsidRPr="00572849">
        <w:t xml:space="preserve">, </w:t>
      </w:r>
      <w:r w:rsidR="00075F2B" w:rsidRPr="00572849">
        <w:rPr>
          <w:i/>
        </w:rPr>
        <w:t>“elegant: A Flexible SDDS-Compliant Code for Accelerator Simulation”,</w:t>
      </w:r>
      <w:r w:rsidR="00075F2B" w:rsidRPr="00572849">
        <w:t xml:space="preserve"> Advanced Photon Source LS-287 (2000).</w:t>
      </w:r>
    </w:p>
    <w:p w:rsidR="004A2371" w:rsidRPr="00572849" w:rsidRDefault="004A2371" w:rsidP="00C5593D">
      <w:pPr>
        <w:jc w:val="both"/>
      </w:pPr>
    </w:p>
    <w:p w:rsidR="00A10033" w:rsidRPr="00572849" w:rsidRDefault="00F06D60" w:rsidP="00C5593D">
      <w:pPr>
        <w:ind w:left="720" w:hanging="720"/>
        <w:jc w:val="both"/>
      </w:pPr>
      <w:r w:rsidRPr="00572849">
        <w:t>[</w:t>
      </w:r>
      <w:r w:rsidR="004C2C6C" w:rsidRPr="00572849">
        <w:t>2</w:t>
      </w:r>
      <w:r w:rsidR="004A2371" w:rsidRPr="00572849">
        <w:t>]</w:t>
      </w:r>
      <w:r w:rsidR="004A2371" w:rsidRPr="00572849">
        <w:tab/>
      </w:r>
      <w:r w:rsidR="00684754" w:rsidRPr="00572849">
        <w:t xml:space="preserve">J. Grames, </w:t>
      </w:r>
      <w:r w:rsidR="00684754" w:rsidRPr="00572849">
        <w:rPr>
          <w:i/>
        </w:rPr>
        <w:t>“</w:t>
      </w:r>
      <w:r w:rsidR="00684754" w:rsidRPr="00572849">
        <w:rPr>
          <w:bCs/>
          <w:i/>
        </w:rPr>
        <w:t>PEPPo: Using a Polarized Electron Beam to Produce PPolarized Positrons</w:t>
      </w:r>
      <w:r w:rsidR="00684754" w:rsidRPr="00572849">
        <w:rPr>
          <w:i/>
        </w:rPr>
        <w:t xml:space="preserve">”, </w:t>
      </w:r>
      <w:r w:rsidR="00684754" w:rsidRPr="00572849">
        <w:t xml:space="preserve">Proceedings of the 2013 Workshop on Polarized Sources, Targets and Polarimetry (2013). (see </w:t>
      </w:r>
      <w:hyperlink r:id="rId12" w:history="1">
        <w:r w:rsidR="00A10033" w:rsidRPr="00572849">
          <w:rPr>
            <w:rStyle w:val="Hyperlink"/>
          </w:rPr>
          <w:t>http://tinyurl.com/ntwb2n4</w:t>
        </w:r>
      </w:hyperlink>
      <w:r w:rsidR="00684754" w:rsidRPr="00572849">
        <w:rPr>
          <w:rStyle w:val="Hyperlink"/>
          <w:color w:val="000000" w:themeColor="text1"/>
          <w:u w:val="none"/>
        </w:rPr>
        <w:t>)</w:t>
      </w:r>
    </w:p>
    <w:p w:rsidR="000C4353" w:rsidRPr="00572849" w:rsidRDefault="000C4353" w:rsidP="00C5593D">
      <w:pPr>
        <w:jc w:val="both"/>
      </w:pPr>
    </w:p>
    <w:p w:rsidR="004A2371" w:rsidRPr="00572849" w:rsidRDefault="008B723C" w:rsidP="00C5593D">
      <w:pPr>
        <w:autoSpaceDE w:val="0"/>
        <w:autoSpaceDN w:val="0"/>
        <w:adjustRightInd w:val="0"/>
        <w:ind w:left="720" w:hanging="720"/>
        <w:jc w:val="both"/>
      </w:pPr>
      <w:r w:rsidRPr="00572849">
        <w:t>[</w:t>
      </w:r>
      <w:r w:rsidR="004C2C6C" w:rsidRPr="00572849">
        <w:t>3</w:t>
      </w:r>
      <w:r w:rsidR="004A2371" w:rsidRPr="00572849">
        <w:t>]</w:t>
      </w:r>
      <w:r w:rsidR="004A2371" w:rsidRPr="00572849">
        <w:tab/>
      </w:r>
      <w:r w:rsidR="00C5593D" w:rsidRPr="00572849">
        <w:t xml:space="preserve">C. Ugalde et al., </w:t>
      </w:r>
      <w:r w:rsidR="00C5593D" w:rsidRPr="00572849">
        <w:rPr>
          <w:i/>
        </w:rPr>
        <w:t xml:space="preserve">“Measurement of </w:t>
      </w:r>
      <w:r w:rsidR="00C5593D" w:rsidRPr="00572849">
        <w:rPr>
          <w:i/>
          <w:vertAlign w:val="superscript"/>
        </w:rPr>
        <w:t>16</w:t>
      </w:r>
      <w:r w:rsidR="00C5593D" w:rsidRPr="00572849">
        <w:rPr>
          <w:i/>
        </w:rPr>
        <w:t>O(</w:t>
      </w:r>
      <w:r w:rsidR="00C5593D" w:rsidRPr="00572849">
        <w:rPr>
          <w:rFonts w:eastAsia="rtxmi"/>
          <w:i/>
        </w:rPr>
        <w:t>γ</w:t>
      </w:r>
      <w:r w:rsidR="00C5593D" w:rsidRPr="00572849">
        <w:rPr>
          <w:i/>
        </w:rPr>
        <w:t>,</w:t>
      </w:r>
      <w:r w:rsidR="00C5593D" w:rsidRPr="00572849">
        <w:rPr>
          <w:rFonts w:eastAsia="rtxmi"/>
          <w:i/>
        </w:rPr>
        <w:t>α</w:t>
      </w:r>
      <w:r w:rsidR="00C5593D" w:rsidRPr="00572849">
        <w:rPr>
          <w:i/>
        </w:rPr>
        <w:t>)</w:t>
      </w:r>
      <w:r w:rsidR="00C5593D" w:rsidRPr="00572849">
        <w:rPr>
          <w:i/>
          <w:vertAlign w:val="superscript"/>
        </w:rPr>
        <w:t>12</w:t>
      </w:r>
      <w:r w:rsidR="00C5593D" w:rsidRPr="00572849">
        <w:rPr>
          <w:i/>
        </w:rPr>
        <w:t>C with a Bubble Chamber and a Bremsstrahlung Beam”,</w:t>
      </w:r>
      <w:r w:rsidR="00C5593D" w:rsidRPr="00572849">
        <w:t xml:space="preserve"> PAC proposal (2013). (</w:t>
      </w:r>
      <w:r w:rsidR="00292672" w:rsidRPr="00572849">
        <w:t xml:space="preserve">see </w:t>
      </w:r>
      <w:hyperlink r:id="rId13" w:history="1">
        <w:r w:rsidR="00292672" w:rsidRPr="00572849">
          <w:rPr>
            <w:rStyle w:val="Hyperlink"/>
          </w:rPr>
          <w:t>http://tinyurl.com/nsph5ce</w:t>
        </w:r>
      </w:hyperlink>
      <w:r w:rsidR="00C5593D" w:rsidRPr="00572849">
        <w:t>)</w:t>
      </w:r>
    </w:p>
    <w:p w:rsidR="008B723C" w:rsidRPr="00572849" w:rsidRDefault="008B723C" w:rsidP="00C5593D">
      <w:pPr>
        <w:jc w:val="both"/>
      </w:pPr>
    </w:p>
    <w:p w:rsidR="000507D9" w:rsidRPr="00572849" w:rsidRDefault="000507D9" w:rsidP="003E3B79">
      <w:pPr>
        <w:ind w:left="720" w:hanging="720"/>
      </w:pPr>
      <w:r w:rsidRPr="00572849">
        <w:t>[4]</w:t>
      </w:r>
      <w:r w:rsidRPr="00572849">
        <w:tab/>
        <w:t xml:space="preserve">M. Tiefenback and D. Turner, </w:t>
      </w:r>
      <w:r w:rsidRPr="00572849">
        <w:rPr>
          <w:i/>
        </w:rPr>
        <w:t>“Proposal for Improved CEBAF Wire Scanner Hardware and Data Handling”</w:t>
      </w:r>
      <w:r w:rsidRPr="00572849">
        <w:t xml:space="preserve">, Jefferson Laboratory Tech Note </w:t>
      </w:r>
      <w:r w:rsidRPr="00572849">
        <w:rPr>
          <w:i/>
        </w:rPr>
        <w:t>(in preparation)</w:t>
      </w:r>
      <w:r w:rsidRPr="00572849">
        <w:t>.</w:t>
      </w:r>
    </w:p>
    <w:p w:rsidR="008B723C" w:rsidRPr="00572849" w:rsidRDefault="008B723C" w:rsidP="00C5593D">
      <w:pPr>
        <w:ind w:left="720" w:hanging="720"/>
        <w:jc w:val="both"/>
      </w:pPr>
    </w:p>
    <w:p w:rsidR="00140C74" w:rsidRPr="00572849" w:rsidRDefault="00140C74" w:rsidP="0030068E">
      <w:pPr>
        <w:ind w:left="720" w:hanging="720"/>
        <w:jc w:val="both"/>
      </w:pPr>
      <w:r w:rsidRPr="00572849">
        <w:t>[5]</w:t>
      </w:r>
      <w:r w:rsidRPr="00572849">
        <w:tab/>
        <w:t xml:space="preserve">C. Tennant, J. Grames, R. Suleiman and D. Turner, </w:t>
      </w:r>
      <w:r w:rsidRPr="00572849">
        <w:rPr>
          <w:i/>
        </w:rPr>
        <w:t xml:space="preserve">“Transverse Beam Characterization in the CEBAF 5 MeV Region”, </w:t>
      </w:r>
      <w:r w:rsidRPr="00572849">
        <w:t>Jefferson Laboratory Tech Note 14-004 (2014).</w:t>
      </w:r>
    </w:p>
    <w:p w:rsidR="00705DF8" w:rsidRPr="00572849" w:rsidRDefault="00705DF8" w:rsidP="00140C74">
      <w:pPr>
        <w:jc w:val="both"/>
      </w:pPr>
    </w:p>
    <w:p w:rsidR="00705DF8" w:rsidRPr="00572849" w:rsidRDefault="00705DF8" w:rsidP="00705DF8">
      <w:r w:rsidRPr="00572849">
        <w:t>[6]</w:t>
      </w:r>
      <w:r w:rsidR="000D68F9" w:rsidRPr="00572849">
        <w:tab/>
      </w:r>
      <w:r w:rsidRPr="00572849">
        <w:t>C. Tennant</w:t>
      </w:r>
      <w:r w:rsidR="000D68F9" w:rsidRPr="00572849">
        <w:t>, slides presented</w:t>
      </w:r>
      <w:r w:rsidRPr="00572849">
        <w:t xml:space="preserve"> at B-Team meeting, August 5, 2014.</w:t>
      </w:r>
    </w:p>
    <w:p w:rsidR="007A7561" w:rsidRDefault="007A7561" w:rsidP="00C5593D">
      <w:pPr>
        <w:jc w:val="both"/>
      </w:pPr>
    </w:p>
    <w:p w:rsidR="00572849" w:rsidRDefault="00572849" w:rsidP="00572849">
      <w:r w:rsidRPr="00572849">
        <w:t>[</w:t>
      </w:r>
      <w:r>
        <w:t>7</w:t>
      </w:r>
      <w:r w:rsidRPr="00572849">
        <w:t>]</w:t>
      </w:r>
      <w:r w:rsidRPr="00572849">
        <w:tab/>
      </w:r>
      <w:hyperlink r:id="rId14" w:history="1">
        <w:r w:rsidRPr="00572849">
          <w:rPr>
            <w:rStyle w:val="Hyperlink"/>
          </w:rPr>
          <w:t>https://logbooks.jlab.org/entry/3351437</w:t>
        </w:r>
      </w:hyperlink>
    </w:p>
    <w:p w:rsidR="00572849" w:rsidRPr="00572849" w:rsidRDefault="00572849" w:rsidP="00C5593D">
      <w:pPr>
        <w:jc w:val="both"/>
      </w:pPr>
    </w:p>
    <w:p w:rsidR="000D68F9" w:rsidRPr="00572849" w:rsidRDefault="000D68F9" w:rsidP="003E3B79">
      <w:pPr>
        <w:ind w:left="720" w:hanging="720"/>
        <w:jc w:val="both"/>
      </w:pPr>
      <w:r w:rsidRPr="00572849">
        <w:t>[</w:t>
      </w:r>
      <w:r w:rsidR="00572849">
        <w:t>8</w:t>
      </w:r>
      <w:r w:rsidRPr="00572849">
        <w:t>]</w:t>
      </w:r>
      <w:r w:rsidRPr="00572849">
        <w:tab/>
        <w:t xml:space="preserve">Z. Li, </w:t>
      </w:r>
      <w:r w:rsidRPr="00572849">
        <w:rPr>
          <w:i/>
        </w:rPr>
        <w:t>“Beam Dynamics in the CEBAF Superconducting Cavities”</w:t>
      </w:r>
      <w:r w:rsidRPr="00572849">
        <w:t>, Ph.D. Thesis, The College of William &amp; Mary (1995).</w:t>
      </w:r>
    </w:p>
    <w:p w:rsidR="00906552" w:rsidRPr="00572849" w:rsidRDefault="00906552"/>
    <w:p w:rsidR="00906552" w:rsidRPr="00572849" w:rsidRDefault="00906552">
      <w:r w:rsidRPr="00572849">
        <w:t>[</w:t>
      </w:r>
      <w:r w:rsidR="00572849">
        <w:t>9</w:t>
      </w:r>
      <w:r w:rsidRPr="00572849">
        <w:t>]</w:t>
      </w:r>
      <w:r w:rsidRPr="00572849">
        <w:tab/>
      </w:r>
      <w:hyperlink r:id="rId15" w:history="1">
        <w:r w:rsidRPr="00572849">
          <w:rPr>
            <w:rStyle w:val="Hyperlink"/>
          </w:rPr>
          <w:t>https://logbooks.jlab.org/entry/3283358</w:t>
        </w:r>
      </w:hyperlink>
      <w:r w:rsidRPr="00572849">
        <w:t xml:space="preserve"> </w:t>
      </w:r>
    </w:p>
    <w:p w:rsidR="002A0EA3" w:rsidRPr="00572849" w:rsidRDefault="002A0EA3"/>
    <w:p w:rsidR="009517BB" w:rsidRPr="00572849" w:rsidRDefault="009517BB"/>
    <w:p w:rsidR="008774DB" w:rsidRPr="00572849" w:rsidRDefault="008774DB">
      <w:pPr>
        <w:rPr>
          <w:b/>
          <w:sz w:val="28"/>
        </w:rPr>
      </w:pPr>
      <w:r w:rsidRPr="00572849">
        <w:rPr>
          <w:b/>
          <w:sz w:val="28"/>
        </w:rPr>
        <w:br w:type="page"/>
      </w:r>
    </w:p>
    <w:p w:rsidR="008774DB" w:rsidRPr="00572849" w:rsidRDefault="008774DB">
      <w:pPr>
        <w:rPr>
          <w:b/>
          <w:sz w:val="28"/>
        </w:rPr>
      </w:pPr>
    </w:p>
    <w:p w:rsidR="008774DB" w:rsidRPr="00572849" w:rsidRDefault="008774DB" w:rsidP="00DA2CCD">
      <w:pPr>
        <w:jc w:val="both"/>
        <w:rPr>
          <w:b/>
          <w:sz w:val="28"/>
        </w:rPr>
      </w:pPr>
      <w:r w:rsidRPr="00572849">
        <w:rPr>
          <w:b/>
          <w:sz w:val="28"/>
        </w:rPr>
        <w:t xml:space="preserve">Appendix A: </w:t>
      </w:r>
      <w:r w:rsidR="00DA2CCD" w:rsidRPr="00572849">
        <w:rPr>
          <w:b/>
          <w:sz w:val="28"/>
        </w:rPr>
        <w:t>Quarter Cryounit Gradients for the April 19, 2015 Measurements</w:t>
      </w:r>
    </w:p>
    <w:p w:rsidR="008774DB" w:rsidRPr="00572849" w:rsidRDefault="008774DB"/>
    <w:p w:rsidR="00CD4B34" w:rsidRPr="00572849" w:rsidRDefault="00C11342" w:rsidP="009517BB">
      <w:pPr>
        <w:ind w:firstLine="360"/>
        <w:jc w:val="both"/>
      </w:pPr>
      <w:r w:rsidRPr="00572849">
        <w:t xml:space="preserve">The measurements taken on April 19, 2014 represent </w:t>
      </w:r>
      <w:r w:rsidR="00F31914" w:rsidRPr="00572849">
        <w:t>one of the</w:t>
      </w:r>
      <w:r w:rsidRPr="00572849">
        <w:t xml:space="preserve"> m</w:t>
      </w:r>
      <w:r w:rsidR="00CD4B34" w:rsidRPr="00572849">
        <w:t>ost comprehensive</w:t>
      </w:r>
      <w:r w:rsidR="009517BB" w:rsidRPr="00572849">
        <w:t xml:space="preserve"> data sets characterizing</w:t>
      </w:r>
      <w:r w:rsidR="00F31914" w:rsidRPr="00572849">
        <w:t xml:space="preserve"> the beam in the 5 MeV region. In addition to being able to scan both transverse planes simultaneously at each energy setpoint, the measurements were</w:t>
      </w:r>
      <w:r w:rsidR="00CD4B34" w:rsidRPr="00572849">
        <w:t xml:space="preserve"> </w:t>
      </w:r>
      <w:r w:rsidR="00F31914" w:rsidRPr="00572849">
        <w:t>taken within a shift</w:t>
      </w:r>
      <w:r w:rsidR="009517BB" w:rsidRPr="00572849">
        <w:t xml:space="preserve"> thereby</w:t>
      </w:r>
      <w:r w:rsidR="00F31914" w:rsidRPr="00572849">
        <w:t xml:space="preserve"> providing reasonable confidence</w:t>
      </w:r>
      <w:r w:rsidR="00CD4B34" w:rsidRPr="00572849">
        <w:t xml:space="preserve"> that the machine did not ch</w:t>
      </w:r>
      <w:r w:rsidR="00F31914" w:rsidRPr="00572849">
        <w:t xml:space="preserve">ange </w:t>
      </w:r>
      <w:r w:rsidR="009517BB" w:rsidRPr="00572849">
        <w:t>“</w:t>
      </w:r>
      <w:r w:rsidR="00F31914" w:rsidRPr="00572849">
        <w:t>a lot</w:t>
      </w:r>
      <w:r w:rsidR="009517BB" w:rsidRPr="00572849">
        <w:t>”</w:t>
      </w:r>
      <w:r w:rsidR="00F31914" w:rsidRPr="00572849">
        <w:t>.</w:t>
      </w:r>
      <w:r w:rsidR="009517BB" w:rsidRPr="00572849">
        <w:t xml:space="preserve"> In addition to the normalized emittances and Twiss parameters, Table A1 also provides the gradient settings in the quarter cryounit for each energy setpoint.</w:t>
      </w:r>
      <w:r w:rsidR="00050865" w:rsidRPr="00572849">
        <w:t xml:space="preserve"> Note the large change in emittances and Twiss parameters in making the jump from 4.00 to 6.30 MeV/c.</w:t>
      </w:r>
    </w:p>
    <w:p w:rsidR="00D8467B" w:rsidRPr="00572849" w:rsidRDefault="00D8467B" w:rsidP="00F31914">
      <w:pPr>
        <w:jc w:val="both"/>
      </w:pPr>
    </w:p>
    <w:p w:rsidR="00D8467B" w:rsidRPr="00572849" w:rsidRDefault="00D8467B" w:rsidP="00FC094A">
      <w:pPr>
        <w:ind w:left="720" w:right="720"/>
        <w:jc w:val="both"/>
        <w:rPr>
          <w:sz w:val="20"/>
        </w:rPr>
      </w:pPr>
      <w:r w:rsidRPr="00572849">
        <w:rPr>
          <w:sz w:val="20"/>
        </w:rPr>
        <w:t>Table A</w:t>
      </w:r>
      <w:r w:rsidR="00FC094A" w:rsidRPr="00572849">
        <w:rPr>
          <w:sz w:val="20"/>
        </w:rPr>
        <w:t>1</w:t>
      </w:r>
      <w:r w:rsidRPr="00572849">
        <w:rPr>
          <w:sz w:val="20"/>
        </w:rPr>
        <w:t>: Summary of gradients in the quarter cryounit for each energy setpoint and the resulting normalized emittances and Twiss parameters.</w:t>
      </w:r>
    </w:p>
    <w:p w:rsidR="00CD4B34" w:rsidRPr="00572849" w:rsidRDefault="00CD4B34">
      <w:pPr>
        <w:rPr>
          <w:sz w:val="20"/>
        </w:rPr>
      </w:pPr>
    </w:p>
    <w:tbl>
      <w:tblPr>
        <w:tblStyle w:val="TableGrid"/>
        <w:tblW w:w="0" w:type="auto"/>
        <w:tblInd w:w="108" w:type="dxa"/>
        <w:tblLayout w:type="fixed"/>
        <w:tblLook w:val="04A0" w:firstRow="1" w:lastRow="0" w:firstColumn="1" w:lastColumn="0" w:noHBand="0" w:noVBand="1"/>
      </w:tblPr>
      <w:tblGrid>
        <w:gridCol w:w="972"/>
        <w:gridCol w:w="972"/>
        <w:gridCol w:w="972"/>
        <w:gridCol w:w="1170"/>
        <w:gridCol w:w="1170"/>
        <w:gridCol w:w="810"/>
        <w:gridCol w:w="828"/>
        <w:gridCol w:w="792"/>
        <w:gridCol w:w="918"/>
      </w:tblGrid>
      <w:tr w:rsidR="008774DB" w:rsidRPr="00572849" w:rsidTr="008E17EA">
        <w:tc>
          <w:tcPr>
            <w:tcW w:w="972" w:type="dxa"/>
          </w:tcPr>
          <w:p w:rsidR="008774DB" w:rsidRPr="00572849" w:rsidRDefault="005E1980" w:rsidP="00983CDA">
            <w:pPr>
              <w:jc w:val="center"/>
              <w:rPr>
                <w:b/>
                <w:color w:val="000000"/>
              </w:rPr>
            </w:pPr>
            <w:r w:rsidRPr="00572849">
              <w:rPr>
                <w:b/>
                <w:color w:val="000000"/>
              </w:rPr>
              <w:t>0L02-7</w:t>
            </w:r>
          </w:p>
          <w:p w:rsidR="005E1980" w:rsidRPr="00572849" w:rsidRDefault="005E1980" w:rsidP="00983CDA">
            <w:pPr>
              <w:jc w:val="center"/>
              <w:rPr>
                <w:i/>
                <w:color w:val="000000"/>
              </w:rPr>
            </w:pPr>
            <w:r w:rsidRPr="00572849">
              <w:rPr>
                <w:i/>
                <w:color w:val="000000"/>
                <w:sz w:val="20"/>
              </w:rPr>
              <w:t>{MV/m}</w:t>
            </w:r>
          </w:p>
        </w:tc>
        <w:tc>
          <w:tcPr>
            <w:tcW w:w="972" w:type="dxa"/>
          </w:tcPr>
          <w:p w:rsidR="008774DB" w:rsidRPr="00572849" w:rsidRDefault="005E1980" w:rsidP="00983CDA">
            <w:pPr>
              <w:jc w:val="center"/>
              <w:rPr>
                <w:b/>
                <w:color w:val="000000"/>
              </w:rPr>
            </w:pPr>
            <w:r w:rsidRPr="00572849">
              <w:rPr>
                <w:b/>
                <w:color w:val="000000"/>
              </w:rPr>
              <w:t>0L02-8</w:t>
            </w:r>
          </w:p>
          <w:p w:rsidR="005E1980" w:rsidRPr="00572849" w:rsidRDefault="005E1980" w:rsidP="00983CDA">
            <w:pPr>
              <w:jc w:val="center"/>
              <w:rPr>
                <w:i/>
                <w:color w:val="000000"/>
              </w:rPr>
            </w:pPr>
            <w:r w:rsidRPr="00572849">
              <w:rPr>
                <w:i/>
                <w:color w:val="000000"/>
                <w:sz w:val="20"/>
              </w:rPr>
              <w:t>{MV/m}</w:t>
            </w:r>
          </w:p>
        </w:tc>
        <w:tc>
          <w:tcPr>
            <w:tcW w:w="972" w:type="dxa"/>
            <w:vAlign w:val="bottom"/>
          </w:tcPr>
          <w:p w:rsidR="008774DB" w:rsidRPr="00572849" w:rsidRDefault="008774DB" w:rsidP="00983CDA">
            <w:pPr>
              <w:jc w:val="center"/>
              <w:rPr>
                <w:b/>
                <w:bCs/>
                <w:color w:val="000000"/>
              </w:rPr>
            </w:pPr>
            <w:r w:rsidRPr="00572849">
              <w:rPr>
                <w:b/>
                <w:bCs/>
                <w:color w:val="000000"/>
              </w:rPr>
              <w:t>p</w:t>
            </w:r>
          </w:p>
          <w:p w:rsidR="008774DB" w:rsidRPr="00572849" w:rsidRDefault="008774DB" w:rsidP="00983CDA">
            <w:pPr>
              <w:jc w:val="center"/>
              <w:rPr>
                <w:b/>
                <w:bCs/>
                <w:color w:val="000000"/>
              </w:rPr>
            </w:pPr>
            <w:r w:rsidRPr="00572849">
              <w:rPr>
                <w:i/>
                <w:iCs/>
                <w:color w:val="000000"/>
                <w:sz w:val="20"/>
              </w:rPr>
              <w:t>{MeV/c}</w:t>
            </w:r>
          </w:p>
        </w:tc>
        <w:tc>
          <w:tcPr>
            <w:tcW w:w="1170" w:type="dxa"/>
            <w:vAlign w:val="bottom"/>
          </w:tcPr>
          <w:p w:rsidR="008774DB" w:rsidRPr="00572849" w:rsidRDefault="008774DB" w:rsidP="00983CDA">
            <w:pPr>
              <w:jc w:val="center"/>
              <w:rPr>
                <w:b/>
                <w:bCs/>
                <w:color w:val="000000"/>
              </w:rPr>
            </w:pPr>
            <w:r w:rsidRPr="00572849">
              <w:rPr>
                <w:rFonts w:ascii="Symbol" w:hAnsi="Symbol"/>
                <w:b/>
                <w:bCs/>
                <w:color w:val="000000"/>
              </w:rPr>
              <w:t></w:t>
            </w:r>
            <w:r w:rsidRPr="00572849">
              <w:rPr>
                <w:b/>
                <w:bCs/>
                <w:color w:val="000000"/>
                <w:vertAlign w:val="subscript"/>
              </w:rPr>
              <w:t>x</w:t>
            </w:r>
          </w:p>
          <w:p w:rsidR="008774DB" w:rsidRPr="00572849" w:rsidRDefault="008774DB" w:rsidP="00983CDA">
            <w:pPr>
              <w:jc w:val="center"/>
              <w:rPr>
                <w:b/>
                <w:bCs/>
                <w:color w:val="000000"/>
              </w:rPr>
            </w:pPr>
            <w:r w:rsidRPr="00572849">
              <w:rPr>
                <w:i/>
                <w:iCs/>
                <w:color w:val="000000"/>
                <w:sz w:val="20"/>
              </w:rPr>
              <w:t>{mm-mrad}</w:t>
            </w:r>
          </w:p>
        </w:tc>
        <w:tc>
          <w:tcPr>
            <w:tcW w:w="1170" w:type="dxa"/>
            <w:vAlign w:val="bottom"/>
          </w:tcPr>
          <w:p w:rsidR="008774DB" w:rsidRPr="00572849" w:rsidRDefault="008774DB" w:rsidP="00983CDA">
            <w:pPr>
              <w:jc w:val="center"/>
              <w:rPr>
                <w:b/>
                <w:bCs/>
                <w:color w:val="000000"/>
              </w:rPr>
            </w:pPr>
            <w:r w:rsidRPr="00572849">
              <w:rPr>
                <w:rFonts w:ascii="Symbol" w:hAnsi="Symbol"/>
                <w:b/>
                <w:bCs/>
                <w:color w:val="000000"/>
              </w:rPr>
              <w:t></w:t>
            </w:r>
            <w:r w:rsidRPr="00572849">
              <w:rPr>
                <w:b/>
                <w:bCs/>
                <w:color w:val="000000"/>
                <w:vertAlign w:val="subscript"/>
              </w:rPr>
              <w:t>y</w:t>
            </w:r>
          </w:p>
          <w:p w:rsidR="008774DB" w:rsidRPr="00572849" w:rsidRDefault="008774DB" w:rsidP="00983CDA">
            <w:pPr>
              <w:jc w:val="center"/>
              <w:rPr>
                <w:b/>
                <w:bCs/>
                <w:color w:val="000000"/>
              </w:rPr>
            </w:pPr>
            <w:r w:rsidRPr="00572849">
              <w:rPr>
                <w:i/>
                <w:iCs/>
                <w:color w:val="000000"/>
                <w:sz w:val="20"/>
              </w:rPr>
              <w:t>{mm-mrad}</w:t>
            </w:r>
          </w:p>
        </w:tc>
        <w:tc>
          <w:tcPr>
            <w:tcW w:w="810" w:type="dxa"/>
            <w:vAlign w:val="bottom"/>
          </w:tcPr>
          <w:p w:rsidR="008774DB" w:rsidRPr="00572849" w:rsidRDefault="008774DB" w:rsidP="00983CDA">
            <w:pPr>
              <w:jc w:val="center"/>
              <w:rPr>
                <w:b/>
                <w:bCs/>
                <w:color w:val="000000"/>
              </w:rPr>
            </w:pPr>
            <w:r w:rsidRPr="00572849">
              <w:rPr>
                <w:rFonts w:ascii="Symbol" w:hAnsi="Symbol"/>
                <w:b/>
                <w:bCs/>
                <w:color w:val="000000"/>
              </w:rPr>
              <w:t></w:t>
            </w:r>
            <w:r w:rsidRPr="00572849">
              <w:rPr>
                <w:b/>
                <w:bCs/>
                <w:color w:val="000000"/>
                <w:vertAlign w:val="subscript"/>
              </w:rPr>
              <w:t>x</w:t>
            </w:r>
          </w:p>
          <w:p w:rsidR="008774DB" w:rsidRPr="00572849" w:rsidRDefault="008774DB" w:rsidP="00983CDA">
            <w:pPr>
              <w:jc w:val="center"/>
              <w:rPr>
                <w:b/>
                <w:bCs/>
                <w:color w:val="000000"/>
              </w:rPr>
            </w:pPr>
            <w:r w:rsidRPr="00572849">
              <w:rPr>
                <w:i/>
                <w:iCs/>
                <w:color w:val="000000"/>
                <w:sz w:val="20"/>
              </w:rPr>
              <w:t>{m}</w:t>
            </w:r>
          </w:p>
        </w:tc>
        <w:tc>
          <w:tcPr>
            <w:tcW w:w="828" w:type="dxa"/>
            <w:vAlign w:val="bottom"/>
          </w:tcPr>
          <w:p w:rsidR="008774DB" w:rsidRPr="00572849" w:rsidRDefault="008774DB" w:rsidP="00983CDA">
            <w:pPr>
              <w:jc w:val="center"/>
              <w:rPr>
                <w:b/>
                <w:bCs/>
                <w:color w:val="000000"/>
                <w:vertAlign w:val="subscript"/>
              </w:rPr>
            </w:pPr>
            <w:r w:rsidRPr="00572849">
              <w:rPr>
                <w:rFonts w:ascii="Symbol" w:hAnsi="Symbol"/>
                <w:b/>
                <w:bCs/>
                <w:color w:val="000000"/>
              </w:rPr>
              <w:t></w:t>
            </w:r>
            <w:r w:rsidRPr="00572849">
              <w:rPr>
                <w:b/>
                <w:bCs/>
                <w:color w:val="000000"/>
                <w:vertAlign w:val="subscript"/>
              </w:rPr>
              <w:t>x</w:t>
            </w:r>
          </w:p>
          <w:p w:rsidR="008774DB" w:rsidRPr="00572849" w:rsidRDefault="008774DB" w:rsidP="00983CDA">
            <w:pPr>
              <w:jc w:val="center"/>
              <w:rPr>
                <w:b/>
                <w:bCs/>
                <w:color w:val="000000"/>
                <w:sz w:val="20"/>
              </w:rPr>
            </w:pPr>
          </w:p>
        </w:tc>
        <w:tc>
          <w:tcPr>
            <w:tcW w:w="792" w:type="dxa"/>
            <w:vAlign w:val="bottom"/>
          </w:tcPr>
          <w:p w:rsidR="008774DB" w:rsidRPr="00572849" w:rsidRDefault="008774DB" w:rsidP="00983CDA">
            <w:pPr>
              <w:jc w:val="center"/>
              <w:rPr>
                <w:b/>
                <w:bCs/>
                <w:color w:val="000000"/>
              </w:rPr>
            </w:pPr>
            <w:r w:rsidRPr="00572849">
              <w:rPr>
                <w:rFonts w:ascii="Symbol" w:hAnsi="Symbol"/>
                <w:b/>
                <w:bCs/>
                <w:color w:val="000000"/>
              </w:rPr>
              <w:t></w:t>
            </w:r>
            <w:r w:rsidRPr="00572849">
              <w:rPr>
                <w:b/>
                <w:bCs/>
                <w:color w:val="000000"/>
                <w:vertAlign w:val="subscript"/>
              </w:rPr>
              <w:t>y</w:t>
            </w:r>
          </w:p>
          <w:p w:rsidR="008774DB" w:rsidRPr="00572849" w:rsidRDefault="008774DB" w:rsidP="00983CDA">
            <w:pPr>
              <w:jc w:val="center"/>
              <w:rPr>
                <w:b/>
                <w:bCs/>
                <w:color w:val="000000"/>
              </w:rPr>
            </w:pPr>
            <w:r w:rsidRPr="00572849">
              <w:rPr>
                <w:i/>
                <w:iCs/>
                <w:color w:val="000000"/>
                <w:sz w:val="20"/>
              </w:rPr>
              <w:t>{m}</w:t>
            </w:r>
          </w:p>
        </w:tc>
        <w:tc>
          <w:tcPr>
            <w:tcW w:w="918" w:type="dxa"/>
            <w:vAlign w:val="bottom"/>
          </w:tcPr>
          <w:p w:rsidR="008774DB" w:rsidRPr="00572849" w:rsidRDefault="008774DB" w:rsidP="00983CDA">
            <w:pPr>
              <w:jc w:val="center"/>
              <w:rPr>
                <w:b/>
                <w:bCs/>
                <w:color w:val="000000"/>
                <w:vertAlign w:val="subscript"/>
              </w:rPr>
            </w:pPr>
            <w:r w:rsidRPr="00572849">
              <w:rPr>
                <w:rFonts w:ascii="Symbol" w:hAnsi="Symbol"/>
                <w:b/>
                <w:bCs/>
                <w:color w:val="000000"/>
              </w:rPr>
              <w:t></w:t>
            </w:r>
            <w:r w:rsidRPr="00572849">
              <w:rPr>
                <w:b/>
                <w:bCs/>
                <w:color w:val="000000"/>
                <w:vertAlign w:val="subscript"/>
              </w:rPr>
              <w:t>y</w:t>
            </w:r>
          </w:p>
          <w:p w:rsidR="008774DB" w:rsidRPr="00572849" w:rsidRDefault="008774DB" w:rsidP="00983CDA">
            <w:pPr>
              <w:jc w:val="center"/>
              <w:rPr>
                <w:b/>
                <w:bCs/>
                <w:color w:val="000000"/>
                <w:sz w:val="20"/>
              </w:rPr>
            </w:pPr>
          </w:p>
        </w:tc>
      </w:tr>
      <w:tr w:rsidR="008774DB" w:rsidRPr="00572849" w:rsidTr="008E17EA">
        <w:tc>
          <w:tcPr>
            <w:tcW w:w="972" w:type="dxa"/>
          </w:tcPr>
          <w:p w:rsidR="008774DB" w:rsidRPr="00572849" w:rsidRDefault="00034152" w:rsidP="00983CDA">
            <w:pPr>
              <w:jc w:val="center"/>
              <w:rPr>
                <w:color w:val="000000"/>
              </w:rPr>
            </w:pPr>
            <w:r w:rsidRPr="00572849">
              <w:rPr>
                <w:color w:val="000000"/>
              </w:rPr>
              <w:t>4.6</w:t>
            </w:r>
          </w:p>
        </w:tc>
        <w:tc>
          <w:tcPr>
            <w:tcW w:w="972" w:type="dxa"/>
          </w:tcPr>
          <w:p w:rsidR="008774DB" w:rsidRPr="00572849" w:rsidRDefault="00034152" w:rsidP="00983CDA">
            <w:pPr>
              <w:jc w:val="center"/>
              <w:rPr>
                <w:color w:val="000000"/>
              </w:rPr>
            </w:pPr>
            <w:r w:rsidRPr="00572849">
              <w:rPr>
                <w:color w:val="000000"/>
              </w:rPr>
              <w:t>0.0</w:t>
            </w:r>
          </w:p>
        </w:tc>
        <w:tc>
          <w:tcPr>
            <w:tcW w:w="972" w:type="dxa"/>
            <w:vAlign w:val="bottom"/>
          </w:tcPr>
          <w:p w:rsidR="008774DB" w:rsidRPr="00572849" w:rsidRDefault="008774DB" w:rsidP="00983CDA">
            <w:pPr>
              <w:jc w:val="center"/>
              <w:rPr>
                <w:color w:val="000000"/>
              </w:rPr>
            </w:pPr>
            <w:r w:rsidRPr="00572849">
              <w:rPr>
                <w:color w:val="000000"/>
              </w:rPr>
              <w:t>3.10</w:t>
            </w:r>
          </w:p>
        </w:tc>
        <w:tc>
          <w:tcPr>
            <w:tcW w:w="1170" w:type="dxa"/>
            <w:vAlign w:val="bottom"/>
          </w:tcPr>
          <w:p w:rsidR="008774DB" w:rsidRPr="00572849" w:rsidRDefault="008774DB" w:rsidP="00983CDA">
            <w:pPr>
              <w:jc w:val="center"/>
              <w:rPr>
                <w:color w:val="000000"/>
              </w:rPr>
            </w:pPr>
            <w:r w:rsidRPr="00572849">
              <w:rPr>
                <w:color w:val="000000"/>
              </w:rPr>
              <w:t>0.42</w:t>
            </w:r>
          </w:p>
        </w:tc>
        <w:tc>
          <w:tcPr>
            <w:tcW w:w="1170" w:type="dxa"/>
            <w:vAlign w:val="bottom"/>
          </w:tcPr>
          <w:p w:rsidR="008774DB" w:rsidRPr="00572849" w:rsidRDefault="008774DB" w:rsidP="00983CDA">
            <w:pPr>
              <w:jc w:val="center"/>
              <w:rPr>
                <w:color w:val="000000"/>
              </w:rPr>
            </w:pPr>
            <w:r w:rsidRPr="00572849">
              <w:rPr>
                <w:color w:val="000000"/>
              </w:rPr>
              <w:t>0.16</w:t>
            </w:r>
          </w:p>
        </w:tc>
        <w:tc>
          <w:tcPr>
            <w:tcW w:w="810" w:type="dxa"/>
            <w:vAlign w:val="bottom"/>
          </w:tcPr>
          <w:p w:rsidR="008774DB" w:rsidRPr="00572849" w:rsidRDefault="008774DB" w:rsidP="00983CDA">
            <w:pPr>
              <w:jc w:val="center"/>
              <w:rPr>
                <w:color w:val="000000"/>
              </w:rPr>
            </w:pPr>
            <w:r w:rsidRPr="00572849">
              <w:rPr>
                <w:color w:val="000000"/>
              </w:rPr>
              <w:t>22.79</w:t>
            </w:r>
          </w:p>
        </w:tc>
        <w:tc>
          <w:tcPr>
            <w:tcW w:w="828" w:type="dxa"/>
            <w:vAlign w:val="bottom"/>
          </w:tcPr>
          <w:p w:rsidR="008774DB" w:rsidRPr="00572849" w:rsidRDefault="008774DB" w:rsidP="00983CDA">
            <w:pPr>
              <w:jc w:val="center"/>
              <w:rPr>
                <w:color w:val="000000"/>
              </w:rPr>
            </w:pPr>
            <w:r w:rsidRPr="00572849">
              <w:rPr>
                <w:rFonts w:ascii="Symbol" w:hAnsi="Symbol"/>
                <w:color w:val="000000"/>
              </w:rPr>
              <w:t></w:t>
            </w:r>
            <w:r w:rsidRPr="00572849">
              <w:rPr>
                <w:color w:val="000000"/>
              </w:rPr>
              <w:t>7.42</w:t>
            </w:r>
          </w:p>
        </w:tc>
        <w:tc>
          <w:tcPr>
            <w:tcW w:w="792" w:type="dxa"/>
            <w:vAlign w:val="bottom"/>
          </w:tcPr>
          <w:p w:rsidR="008774DB" w:rsidRPr="00572849" w:rsidRDefault="008774DB" w:rsidP="00983CDA">
            <w:pPr>
              <w:jc w:val="center"/>
              <w:rPr>
                <w:color w:val="000000"/>
              </w:rPr>
            </w:pPr>
            <w:r w:rsidRPr="00572849">
              <w:rPr>
                <w:color w:val="000000"/>
              </w:rPr>
              <w:t>10.20</w:t>
            </w:r>
          </w:p>
        </w:tc>
        <w:tc>
          <w:tcPr>
            <w:tcW w:w="918" w:type="dxa"/>
            <w:vAlign w:val="bottom"/>
          </w:tcPr>
          <w:p w:rsidR="008774DB" w:rsidRPr="00572849" w:rsidRDefault="00CA091F" w:rsidP="00983CDA">
            <w:pPr>
              <w:jc w:val="center"/>
              <w:rPr>
                <w:color w:val="000000"/>
              </w:rPr>
            </w:pPr>
            <w:r w:rsidRPr="00572849">
              <w:rPr>
                <w:rFonts w:ascii="Symbol" w:hAnsi="Symbol"/>
                <w:color w:val="000000"/>
              </w:rPr>
              <w:t></w:t>
            </w:r>
            <w:r w:rsidR="008774DB" w:rsidRPr="00572849">
              <w:rPr>
                <w:color w:val="000000"/>
              </w:rPr>
              <w:t>0.67</w:t>
            </w:r>
          </w:p>
        </w:tc>
      </w:tr>
      <w:tr w:rsidR="008774DB" w:rsidRPr="00572849" w:rsidTr="008E17EA">
        <w:tc>
          <w:tcPr>
            <w:tcW w:w="972" w:type="dxa"/>
          </w:tcPr>
          <w:p w:rsidR="00034152" w:rsidRPr="00572849" w:rsidRDefault="00034152" w:rsidP="00034152">
            <w:pPr>
              <w:jc w:val="center"/>
              <w:rPr>
                <w:color w:val="000000"/>
              </w:rPr>
            </w:pPr>
            <w:r w:rsidRPr="00572849">
              <w:rPr>
                <w:color w:val="000000"/>
              </w:rPr>
              <w:t>3.4</w:t>
            </w:r>
          </w:p>
        </w:tc>
        <w:tc>
          <w:tcPr>
            <w:tcW w:w="972" w:type="dxa"/>
          </w:tcPr>
          <w:p w:rsidR="008774DB" w:rsidRPr="00572849" w:rsidRDefault="00034152" w:rsidP="00983CDA">
            <w:pPr>
              <w:jc w:val="center"/>
              <w:rPr>
                <w:color w:val="000000"/>
              </w:rPr>
            </w:pPr>
            <w:r w:rsidRPr="00572849">
              <w:rPr>
                <w:color w:val="000000"/>
              </w:rPr>
              <w:t>3.2</w:t>
            </w:r>
          </w:p>
        </w:tc>
        <w:tc>
          <w:tcPr>
            <w:tcW w:w="972" w:type="dxa"/>
            <w:vAlign w:val="bottom"/>
          </w:tcPr>
          <w:p w:rsidR="008774DB" w:rsidRPr="00572849" w:rsidRDefault="008774DB" w:rsidP="00983CDA">
            <w:pPr>
              <w:jc w:val="center"/>
              <w:rPr>
                <w:color w:val="000000"/>
              </w:rPr>
            </w:pPr>
            <w:r w:rsidRPr="00572849">
              <w:rPr>
                <w:color w:val="000000"/>
              </w:rPr>
              <w:t>4.00</w:t>
            </w:r>
          </w:p>
        </w:tc>
        <w:tc>
          <w:tcPr>
            <w:tcW w:w="1170" w:type="dxa"/>
            <w:vAlign w:val="bottom"/>
          </w:tcPr>
          <w:p w:rsidR="008774DB" w:rsidRPr="00572849" w:rsidRDefault="008774DB" w:rsidP="00983CDA">
            <w:pPr>
              <w:jc w:val="center"/>
              <w:rPr>
                <w:color w:val="000000"/>
              </w:rPr>
            </w:pPr>
            <w:r w:rsidRPr="00572849">
              <w:rPr>
                <w:color w:val="000000"/>
              </w:rPr>
              <w:t>0.43</w:t>
            </w:r>
          </w:p>
        </w:tc>
        <w:tc>
          <w:tcPr>
            <w:tcW w:w="1170" w:type="dxa"/>
            <w:vAlign w:val="bottom"/>
          </w:tcPr>
          <w:p w:rsidR="008774DB" w:rsidRPr="00572849" w:rsidRDefault="008774DB" w:rsidP="00983CDA">
            <w:pPr>
              <w:jc w:val="center"/>
              <w:rPr>
                <w:color w:val="000000"/>
              </w:rPr>
            </w:pPr>
            <w:r w:rsidRPr="00572849">
              <w:rPr>
                <w:color w:val="000000"/>
              </w:rPr>
              <w:t>0.18</w:t>
            </w:r>
          </w:p>
        </w:tc>
        <w:tc>
          <w:tcPr>
            <w:tcW w:w="810" w:type="dxa"/>
            <w:vAlign w:val="bottom"/>
          </w:tcPr>
          <w:p w:rsidR="008774DB" w:rsidRPr="00572849" w:rsidRDefault="008774DB" w:rsidP="00983CDA">
            <w:pPr>
              <w:jc w:val="center"/>
              <w:rPr>
                <w:color w:val="000000"/>
              </w:rPr>
            </w:pPr>
            <w:r w:rsidRPr="00572849">
              <w:rPr>
                <w:color w:val="000000"/>
              </w:rPr>
              <w:t>22.91</w:t>
            </w:r>
          </w:p>
        </w:tc>
        <w:tc>
          <w:tcPr>
            <w:tcW w:w="828" w:type="dxa"/>
            <w:vAlign w:val="bottom"/>
          </w:tcPr>
          <w:p w:rsidR="008774DB" w:rsidRPr="00572849" w:rsidRDefault="00CA091F" w:rsidP="00983CDA">
            <w:pPr>
              <w:jc w:val="center"/>
              <w:rPr>
                <w:color w:val="000000"/>
              </w:rPr>
            </w:pPr>
            <w:r w:rsidRPr="00572849">
              <w:rPr>
                <w:rFonts w:ascii="Symbol" w:hAnsi="Symbol"/>
                <w:color w:val="000000"/>
              </w:rPr>
              <w:t></w:t>
            </w:r>
            <w:r w:rsidR="008774DB" w:rsidRPr="00572849">
              <w:rPr>
                <w:color w:val="000000"/>
              </w:rPr>
              <w:t>6.52</w:t>
            </w:r>
          </w:p>
        </w:tc>
        <w:tc>
          <w:tcPr>
            <w:tcW w:w="792" w:type="dxa"/>
            <w:vAlign w:val="bottom"/>
          </w:tcPr>
          <w:p w:rsidR="008774DB" w:rsidRPr="00572849" w:rsidRDefault="008774DB" w:rsidP="00983CDA">
            <w:pPr>
              <w:jc w:val="center"/>
              <w:rPr>
                <w:color w:val="000000"/>
              </w:rPr>
            </w:pPr>
            <w:r w:rsidRPr="00572849">
              <w:rPr>
                <w:color w:val="000000"/>
              </w:rPr>
              <w:t>19.37</w:t>
            </w:r>
          </w:p>
        </w:tc>
        <w:tc>
          <w:tcPr>
            <w:tcW w:w="918" w:type="dxa"/>
            <w:vAlign w:val="bottom"/>
          </w:tcPr>
          <w:p w:rsidR="008774DB" w:rsidRPr="00572849" w:rsidRDefault="00CA091F" w:rsidP="00983CDA">
            <w:pPr>
              <w:jc w:val="center"/>
              <w:rPr>
                <w:color w:val="000000"/>
              </w:rPr>
            </w:pPr>
            <w:r w:rsidRPr="00572849">
              <w:rPr>
                <w:rFonts w:ascii="Symbol" w:hAnsi="Symbol"/>
                <w:color w:val="000000"/>
              </w:rPr>
              <w:t></w:t>
            </w:r>
            <w:r w:rsidR="008774DB" w:rsidRPr="00572849">
              <w:rPr>
                <w:color w:val="000000"/>
              </w:rPr>
              <w:t>1.42</w:t>
            </w:r>
          </w:p>
        </w:tc>
      </w:tr>
      <w:tr w:rsidR="008774DB" w:rsidRPr="00572849" w:rsidTr="008E17EA">
        <w:tc>
          <w:tcPr>
            <w:tcW w:w="972" w:type="dxa"/>
          </w:tcPr>
          <w:p w:rsidR="008774DB" w:rsidRPr="00572849" w:rsidRDefault="00034152" w:rsidP="00983CDA">
            <w:pPr>
              <w:jc w:val="center"/>
              <w:rPr>
                <w:color w:val="000000"/>
              </w:rPr>
            </w:pPr>
            <w:r w:rsidRPr="00572849">
              <w:rPr>
                <w:color w:val="000000"/>
              </w:rPr>
              <w:t>7.5</w:t>
            </w:r>
          </w:p>
        </w:tc>
        <w:tc>
          <w:tcPr>
            <w:tcW w:w="972" w:type="dxa"/>
          </w:tcPr>
          <w:p w:rsidR="008774DB" w:rsidRPr="00572849" w:rsidRDefault="00034152" w:rsidP="00983CDA">
            <w:pPr>
              <w:jc w:val="center"/>
              <w:rPr>
                <w:color w:val="000000"/>
              </w:rPr>
            </w:pPr>
            <w:r w:rsidRPr="00572849">
              <w:rPr>
                <w:color w:val="000000"/>
              </w:rPr>
              <w:t>3.5</w:t>
            </w:r>
          </w:p>
        </w:tc>
        <w:tc>
          <w:tcPr>
            <w:tcW w:w="972" w:type="dxa"/>
            <w:vAlign w:val="bottom"/>
          </w:tcPr>
          <w:p w:rsidR="008774DB" w:rsidRPr="00572849" w:rsidRDefault="008774DB" w:rsidP="00983CDA">
            <w:pPr>
              <w:jc w:val="center"/>
              <w:rPr>
                <w:color w:val="000000"/>
              </w:rPr>
            </w:pPr>
            <w:r w:rsidRPr="00572849">
              <w:rPr>
                <w:color w:val="000000"/>
              </w:rPr>
              <w:t>6.30</w:t>
            </w:r>
          </w:p>
        </w:tc>
        <w:tc>
          <w:tcPr>
            <w:tcW w:w="1170" w:type="dxa"/>
            <w:vAlign w:val="bottom"/>
          </w:tcPr>
          <w:p w:rsidR="008774DB" w:rsidRPr="00572849" w:rsidRDefault="008774DB" w:rsidP="00983CDA">
            <w:pPr>
              <w:jc w:val="center"/>
              <w:rPr>
                <w:color w:val="000000"/>
              </w:rPr>
            </w:pPr>
            <w:r w:rsidRPr="00572849">
              <w:rPr>
                <w:color w:val="000000"/>
              </w:rPr>
              <w:t>0.42</w:t>
            </w:r>
          </w:p>
        </w:tc>
        <w:tc>
          <w:tcPr>
            <w:tcW w:w="1170" w:type="dxa"/>
            <w:vAlign w:val="bottom"/>
          </w:tcPr>
          <w:p w:rsidR="008774DB" w:rsidRPr="00572849" w:rsidRDefault="008774DB" w:rsidP="00983CDA">
            <w:pPr>
              <w:jc w:val="center"/>
              <w:rPr>
                <w:color w:val="000000"/>
              </w:rPr>
            </w:pPr>
            <w:r w:rsidRPr="00572849">
              <w:rPr>
                <w:color w:val="000000"/>
              </w:rPr>
              <w:t>0.30</w:t>
            </w:r>
          </w:p>
        </w:tc>
        <w:tc>
          <w:tcPr>
            <w:tcW w:w="810" w:type="dxa"/>
            <w:vAlign w:val="bottom"/>
          </w:tcPr>
          <w:p w:rsidR="008774DB" w:rsidRPr="00572849" w:rsidRDefault="008774DB" w:rsidP="00983CDA">
            <w:pPr>
              <w:jc w:val="center"/>
              <w:rPr>
                <w:color w:val="000000"/>
              </w:rPr>
            </w:pPr>
            <w:r w:rsidRPr="00572849">
              <w:rPr>
                <w:color w:val="000000"/>
              </w:rPr>
              <w:t>9.11</w:t>
            </w:r>
          </w:p>
        </w:tc>
        <w:tc>
          <w:tcPr>
            <w:tcW w:w="828" w:type="dxa"/>
            <w:vAlign w:val="bottom"/>
          </w:tcPr>
          <w:p w:rsidR="008774DB" w:rsidRPr="00572849" w:rsidRDefault="00CA091F" w:rsidP="00983CDA">
            <w:pPr>
              <w:jc w:val="center"/>
              <w:rPr>
                <w:color w:val="000000"/>
              </w:rPr>
            </w:pPr>
            <w:r w:rsidRPr="00572849">
              <w:rPr>
                <w:rFonts w:ascii="Symbol" w:hAnsi="Symbol"/>
                <w:color w:val="000000"/>
              </w:rPr>
              <w:t></w:t>
            </w:r>
            <w:r w:rsidR="008774DB" w:rsidRPr="00572849">
              <w:rPr>
                <w:color w:val="000000"/>
              </w:rPr>
              <w:t>2.53</w:t>
            </w:r>
          </w:p>
        </w:tc>
        <w:tc>
          <w:tcPr>
            <w:tcW w:w="792" w:type="dxa"/>
            <w:vAlign w:val="bottom"/>
          </w:tcPr>
          <w:p w:rsidR="008774DB" w:rsidRPr="00572849" w:rsidRDefault="008774DB" w:rsidP="00983CDA">
            <w:pPr>
              <w:jc w:val="center"/>
              <w:rPr>
                <w:color w:val="000000"/>
              </w:rPr>
            </w:pPr>
            <w:r w:rsidRPr="00572849">
              <w:rPr>
                <w:color w:val="000000"/>
              </w:rPr>
              <w:t>30.13</w:t>
            </w:r>
          </w:p>
        </w:tc>
        <w:tc>
          <w:tcPr>
            <w:tcW w:w="918" w:type="dxa"/>
            <w:vAlign w:val="bottom"/>
          </w:tcPr>
          <w:p w:rsidR="008774DB" w:rsidRPr="00572849" w:rsidRDefault="00CA091F" w:rsidP="00983CDA">
            <w:pPr>
              <w:jc w:val="center"/>
              <w:rPr>
                <w:color w:val="000000"/>
              </w:rPr>
            </w:pPr>
            <w:r w:rsidRPr="00572849">
              <w:rPr>
                <w:rFonts w:ascii="Symbol" w:hAnsi="Symbol"/>
                <w:color w:val="000000"/>
              </w:rPr>
              <w:t></w:t>
            </w:r>
            <w:r w:rsidR="008774DB" w:rsidRPr="00572849">
              <w:rPr>
                <w:color w:val="000000"/>
              </w:rPr>
              <w:t>8.34</w:t>
            </w:r>
          </w:p>
        </w:tc>
      </w:tr>
      <w:tr w:rsidR="008774DB" w:rsidRPr="00572849" w:rsidTr="008E17EA">
        <w:tc>
          <w:tcPr>
            <w:tcW w:w="972" w:type="dxa"/>
          </w:tcPr>
          <w:p w:rsidR="008774DB" w:rsidRPr="00572849" w:rsidRDefault="00034152" w:rsidP="00983CDA">
            <w:pPr>
              <w:jc w:val="center"/>
              <w:rPr>
                <w:color w:val="000000"/>
              </w:rPr>
            </w:pPr>
            <w:r w:rsidRPr="00572849">
              <w:rPr>
                <w:color w:val="000000"/>
              </w:rPr>
              <w:t>7.5</w:t>
            </w:r>
          </w:p>
        </w:tc>
        <w:tc>
          <w:tcPr>
            <w:tcW w:w="972" w:type="dxa"/>
          </w:tcPr>
          <w:p w:rsidR="008774DB" w:rsidRPr="00572849" w:rsidRDefault="00034152" w:rsidP="00983CDA">
            <w:pPr>
              <w:jc w:val="center"/>
              <w:rPr>
                <w:color w:val="000000"/>
              </w:rPr>
            </w:pPr>
            <w:r w:rsidRPr="00572849">
              <w:rPr>
                <w:color w:val="000000"/>
              </w:rPr>
              <w:t>5.5</w:t>
            </w:r>
          </w:p>
        </w:tc>
        <w:tc>
          <w:tcPr>
            <w:tcW w:w="972" w:type="dxa"/>
            <w:vAlign w:val="bottom"/>
          </w:tcPr>
          <w:p w:rsidR="008774DB" w:rsidRPr="00572849" w:rsidRDefault="008774DB" w:rsidP="00983CDA">
            <w:pPr>
              <w:jc w:val="center"/>
              <w:rPr>
                <w:color w:val="000000"/>
              </w:rPr>
            </w:pPr>
            <w:r w:rsidRPr="00572849">
              <w:rPr>
                <w:color w:val="000000"/>
              </w:rPr>
              <w:t>7.20</w:t>
            </w:r>
          </w:p>
        </w:tc>
        <w:tc>
          <w:tcPr>
            <w:tcW w:w="1170" w:type="dxa"/>
            <w:vAlign w:val="bottom"/>
          </w:tcPr>
          <w:p w:rsidR="008774DB" w:rsidRPr="00572849" w:rsidRDefault="008774DB" w:rsidP="00983CDA">
            <w:pPr>
              <w:jc w:val="center"/>
              <w:rPr>
                <w:color w:val="000000"/>
              </w:rPr>
            </w:pPr>
            <w:r w:rsidRPr="00572849">
              <w:rPr>
                <w:color w:val="000000"/>
              </w:rPr>
              <w:t>0.47</w:t>
            </w:r>
          </w:p>
        </w:tc>
        <w:tc>
          <w:tcPr>
            <w:tcW w:w="1170" w:type="dxa"/>
            <w:vAlign w:val="bottom"/>
          </w:tcPr>
          <w:p w:rsidR="008774DB" w:rsidRPr="00572849" w:rsidRDefault="008774DB" w:rsidP="00983CDA">
            <w:pPr>
              <w:jc w:val="center"/>
              <w:rPr>
                <w:color w:val="000000"/>
              </w:rPr>
            </w:pPr>
            <w:r w:rsidRPr="00572849">
              <w:rPr>
                <w:color w:val="000000"/>
              </w:rPr>
              <w:t>0.33</w:t>
            </w:r>
          </w:p>
        </w:tc>
        <w:tc>
          <w:tcPr>
            <w:tcW w:w="810" w:type="dxa"/>
            <w:vAlign w:val="bottom"/>
          </w:tcPr>
          <w:p w:rsidR="008774DB" w:rsidRPr="00572849" w:rsidRDefault="008774DB" w:rsidP="00983CDA">
            <w:pPr>
              <w:jc w:val="center"/>
              <w:rPr>
                <w:color w:val="000000"/>
              </w:rPr>
            </w:pPr>
            <w:r w:rsidRPr="00572849">
              <w:rPr>
                <w:color w:val="000000"/>
              </w:rPr>
              <w:t>8.68</w:t>
            </w:r>
          </w:p>
        </w:tc>
        <w:tc>
          <w:tcPr>
            <w:tcW w:w="828" w:type="dxa"/>
            <w:vAlign w:val="bottom"/>
          </w:tcPr>
          <w:p w:rsidR="008774DB" w:rsidRPr="00572849" w:rsidRDefault="00CA091F" w:rsidP="00983CDA">
            <w:pPr>
              <w:jc w:val="center"/>
              <w:rPr>
                <w:color w:val="000000"/>
              </w:rPr>
            </w:pPr>
            <w:r w:rsidRPr="00572849">
              <w:rPr>
                <w:rFonts w:ascii="Symbol" w:hAnsi="Symbol"/>
                <w:color w:val="000000"/>
              </w:rPr>
              <w:t></w:t>
            </w:r>
            <w:r w:rsidR="008774DB" w:rsidRPr="00572849">
              <w:rPr>
                <w:color w:val="000000"/>
              </w:rPr>
              <w:t>2.41</w:t>
            </w:r>
          </w:p>
        </w:tc>
        <w:tc>
          <w:tcPr>
            <w:tcW w:w="792" w:type="dxa"/>
            <w:vAlign w:val="bottom"/>
          </w:tcPr>
          <w:p w:rsidR="008774DB" w:rsidRPr="00572849" w:rsidRDefault="008774DB" w:rsidP="00983CDA">
            <w:pPr>
              <w:jc w:val="center"/>
              <w:rPr>
                <w:color w:val="000000"/>
              </w:rPr>
            </w:pPr>
            <w:r w:rsidRPr="00572849">
              <w:rPr>
                <w:color w:val="000000"/>
              </w:rPr>
              <w:t>35.13</w:t>
            </w:r>
          </w:p>
        </w:tc>
        <w:tc>
          <w:tcPr>
            <w:tcW w:w="918" w:type="dxa"/>
            <w:vAlign w:val="bottom"/>
          </w:tcPr>
          <w:p w:rsidR="008774DB" w:rsidRPr="00572849" w:rsidRDefault="00CA091F" w:rsidP="00983CDA">
            <w:pPr>
              <w:jc w:val="center"/>
              <w:rPr>
                <w:color w:val="000000"/>
              </w:rPr>
            </w:pPr>
            <w:r w:rsidRPr="00572849">
              <w:rPr>
                <w:rFonts w:ascii="Symbol" w:hAnsi="Symbol"/>
                <w:color w:val="000000"/>
              </w:rPr>
              <w:t></w:t>
            </w:r>
            <w:r w:rsidR="008774DB" w:rsidRPr="00572849">
              <w:rPr>
                <w:color w:val="000000"/>
              </w:rPr>
              <w:t>9.53</w:t>
            </w:r>
          </w:p>
        </w:tc>
      </w:tr>
    </w:tbl>
    <w:p w:rsidR="008774DB" w:rsidRPr="00572849" w:rsidRDefault="008774DB"/>
    <w:p w:rsidR="004B4FBA" w:rsidRPr="00572849" w:rsidRDefault="004B4FBA">
      <w:r w:rsidRPr="00572849">
        <w:br w:type="page"/>
      </w:r>
    </w:p>
    <w:p w:rsidR="004B4FBA" w:rsidRPr="00572849" w:rsidRDefault="004B4FBA"/>
    <w:p w:rsidR="004B4FBA" w:rsidRPr="00572849" w:rsidRDefault="00B20D5A" w:rsidP="0005747B">
      <w:pPr>
        <w:jc w:val="both"/>
        <w:rPr>
          <w:b/>
          <w:sz w:val="28"/>
        </w:rPr>
      </w:pPr>
      <w:r w:rsidRPr="00572849">
        <w:rPr>
          <w:b/>
          <w:sz w:val="28"/>
        </w:rPr>
        <w:t>Appendix B: Determining Twiss Parameters as a Function of Energy</w:t>
      </w:r>
    </w:p>
    <w:p w:rsidR="004B4FBA" w:rsidRPr="00572849" w:rsidRDefault="004B4FBA"/>
    <w:p w:rsidR="00633056" w:rsidRPr="00572849" w:rsidRDefault="00545CC7" w:rsidP="00ED1230">
      <w:pPr>
        <w:ind w:firstLine="360"/>
        <w:jc w:val="both"/>
      </w:pPr>
      <w:r w:rsidRPr="00572849">
        <w:t>Th</w:t>
      </w:r>
      <w:r w:rsidR="00ED1230" w:rsidRPr="00572849">
        <w:t xml:space="preserve">e Bubble </w:t>
      </w:r>
      <w:r w:rsidRPr="00572849">
        <w:t xml:space="preserve">Chamber experiment required </w:t>
      </w:r>
      <w:r w:rsidR="00ED1230" w:rsidRPr="00572849">
        <w:t>quickly</w:t>
      </w:r>
      <w:r w:rsidRPr="00572849">
        <w:t xml:space="preserve"> (and precisely) changing the energy of the electron beam </w:t>
      </w:r>
      <w:r w:rsidR="00F053A9" w:rsidRPr="00572849">
        <w:t>while keeping all other beam parameters the same at the target (in the 5D line).</w:t>
      </w:r>
      <w:r w:rsidRPr="00572849">
        <w:t xml:space="preserve"> To that end, measurements </w:t>
      </w:r>
      <w:r w:rsidR="00ED1230" w:rsidRPr="00572849">
        <w:t xml:space="preserve">were made </w:t>
      </w:r>
      <w:r w:rsidRPr="00572849">
        <w:t xml:space="preserve">to characterize the beam </w:t>
      </w:r>
      <w:r w:rsidR="00ED1230" w:rsidRPr="00572849">
        <w:t>at several energy setpoints</w:t>
      </w:r>
      <w:r w:rsidRPr="00572849">
        <w:t xml:space="preserve"> on September 3, 2015. </w:t>
      </w:r>
      <w:r w:rsidR="00ED1230" w:rsidRPr="00572849">
        <w:t xml:space="preserve">Plotting the resulting Twiss parameters as a function of energy and making a linear fit to the data, provided information about the Twiss parameters at the entrance to MQJ0L02 across </w:t>
      </w:r>
      <w:r w:rsidR="00F053A9" w:rsidRPr="00572849">
        <w:t xml:space="preserve">a </w:t>
      </w:r>
      <w:r w:rsidR="00ED1230" w:rsidRPr="00572849">
        <w:t>continuous energy range</w:t>
      </w:r>
      <w:r w:rsidR="0093003F" w:rsidRPr="00572849">
        <w:t xml:space="preserve"> (see Figs. B1 and B2)</w:t>
      </w:r>
      <w:r w:rsidR="00ED1230" w:rsidRPr="00572849">
        <w:t xml:space="preserve">. This in turn provided input for the elegant model </w:t>
      </w:r>
      <w:r w:rsidR="00F053A9" w:rsidRPr="00572849">
        <w:t xml:space="preserve">used </w:t>
      </w:r>
      <w:r w:rsidR="0096407F" w:rsidRPr="00572849">
        <w:t xml:space="preserve">to tune </w:t>
      </w:r>
      <w:r w:rsidR="00F053A9" w:rsidRPr="00572849">
        <w:t>the optics to</w:t>
      </w:r>
      <w:r w:rsidR="00ED1230" w:rsidRPr="00572849">
        <w:t xml:space="preserve"> create the desired small, round spot at the target location. </w:t>
      </w:r>
    </w:p>
    <w:p w:rsidR="00633056" w:rsidRPr="00572849" w:rsidRDefault="00633056"/>
    <w:p w:rsidR="004B4FBA" w:rsidRPr="00572849" w:rsidRDefault="004B4FBA">
      <w:r w:rsidRPr="00572849">
        <w:rPr>
          <w:noProof/>
        </w:rPr>
        <w:drawing>
          <wp:inline distT="0" distB="0" distL="0" distR="0" wp14:anchorId="04C8EE76" wp14:editId="2B70DC9E">
            <wp:extent cx="5486400" cy="3058832"/>
            <wp:effectExtent l="0" t="0" r="0" b="8255"/>
            <wp:docPr id="3" name="Picture 3" descr="C:\Users\tennant\Desktop\5 MeVc SUMMARY\beta_fi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nnant\Desktop\5 MeVc SUMMARY\beta_fits.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86400" cy="3058832"/>
                    </a:xfrm>
                    <a:prstGeom prst="rect">
                      <a:avLst/>
                    </a:prstGeom>
                    <a:noFill/>
                    <a:ln>
                      <a:noFill/>
                    </a:ln>
                  </pic:spPr>
                </pic:pic>
              </a:graphicData>
            </a:graphic>
          </wp:inline>
        </w:drawing>
      </w:r>
    </w:p>
    <w:p w:rsidR="004B4FBA" w:rsidRPr="00572849" w:rsidRDefault="004B4FBA">
      <w:pPr>
        <w:rPr>
          <w:sz w:val="16"/>
        </w:rPr>
      </w:pPr>
    </w:p>
    <w:p w:rsidR="004B4FBA" w:rsidRPr="00572849" w:rsidRDefault="004B4FBA" w:rsidP="004B4FBA">
      <w:pPr>
        <w:ind w:left="720" w:right="720"/>
        <w:jc w:val="both"/>
        <w:rPr>
          <w:sz w:val="20"/>
        </w:rPr>
      </w:pPr>
      <w:r w:rsidRPr="00572849">
        <w:rPr>
          <w:sz w:val="20"/>
        </w:rPr>
        <w:t>Figure B1: Linear fits to the horizontal (red) and vertical (blue) beta functions as a function of momentum.</w:t>
      </w:r>
    </w:p>
    <w:p w:rsidR="004B4FBA" w:rsidRPr="00572849" w:rsidRDefault="004B4FBA"/>
    <w:p w:rsidR="004B4FBA" w:rsidRPr="00572849" w:rsidRDefault="004B4FBA">
      <w:r w:rsidRPr="00572849">
        <w:rPr>
          <w:noProof/>
        </w:rPr>
        <w:drawing>
          <wp:inline distT="0" distB="0" distL="0" distR="0" wp14:anchorId="23CC5245" wp14:editId="707CF5BC">
            <wp:extent cx="5486400" cy="3071908"/>
            <wp:effectExtent l="0" t="0" r="0" b="0"/>
            <wp:docPr id="2" name="Picture 2" descr="C:\Users\tennant\Desktop\5 MeVc SUMMARY\alpha_fi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nnant\Desktop\5 MeVc SUMMARY\alpha_fits.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86400" cy="3071908"/>
                    </a:xfrm>
                    <a:prstGeom prst="rect">
                      <a:avLst/>
                    </a:prstGeom>
                    <a:noFill/>
                    <a:ln>
                      <a:noFill/>
                    </a:ln>
                  </pic:spPr>
                </pic:pic>
              </a:graphicData>
            </a:graphic>
          </wp:inline>
        </w:drawing>
      </w:r>
    </w:p>
    <w:p w:rsidR="004B4FBA" w:rsidRPr="00572849" w:rsidRDefault="004B4FBA">
      <w:pPr>
        <w:rPr>
          <w:sz w:val="16"/>
        </w:rPr>
      </w:pPr>
    </w:p>
    <w:p w:rsidR="004B4FBA" w:rsidRPr="004B4FBA" w:rsidRDefault="004B4FBA" w:rsidP="004B4FBA">
      <w:pPr>
        <w:ind w:left="720" w:right="720"/>
        <w:jc w:val="both"/>
        <w:rPr>
          <w:sz w:val="20"/>
        </w:rPr>
      </w:pPr>
      <w:r w:rsidRPr="00572849">
        <w:rPr>
          <w:sz w:val="20"/>
        </w:rPr>
        <w:t>Figure B2: Linear fits to the horizontal (red) and vertical (blue) alpha functions as a function of momentum.</w:t>
      </w:r>
    </w:p>
    <w:p w:rsidR="004B4FBA" w:rsidRPr="008774DB" w:rsidRDefault="004B4FBA" w:rsidP="004B4FBA"/>
    <w:sectPr w:rsidR="004B4FBA" w:rsidRPr="008774DB" w:rsidSect="00CD2A80">
      <w:headerReference w:type="default" r:id="rId18"/>
      <w:footerReference w:type="even" r:id="rId19"/>
      <w:footerReference w:type="default" r:id="rId2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7CC" w:rsidRDefault="000A67CC">
      <w:r>
        <w:separator/>
      </w:r>
    </w:p>
  </w:endnote>
  <w:endnote w:type="continuationSeparator" w:id="0">
    <w:p w:rsidR="000A67CC" w:rsidRDefault="000A6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te">
    <w:panose1 w:val="02000508000000020004"/>
    <w:charset w:val="00"/>
    <w:family w:val="auto"/>
    <w:pitch w:val="variable"/>
    <w:sig w:usb0="80000027" w:usb1="40000042"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rtxmi">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B47" w:rsidRDefault="00654407" w:rsidP="00827BA8">
    <w:pPr>
      <w:pStyle w:val="Footer"/>
      <w:framePr w:wrap="around" w:vAnchor="text" w:hAnchor="margin" w:xAlign="center" w:y="1"/>
      <w:rPr>
        <w:rStyle w:val="PageNumber"/>
      </w:rPr>
    </w:pPr>
    <w:r>
      <w:rPr>
        <w:rStyle w:val="PageNumber"/>
      </w:rPr>
      <w:fldChar w:fldCharType="begin"/>
    </w:r>
    <w:r w:rsidR="00D05B47">
      <w:rPr>
        <w:rStyle w:val="PageNumber"/>
      </w:rPr>
      <w:instrText xml:space="preserve">PAGE  </w:instrText>
    </w:r>
    <w:r>
      <w:rPr>
        <w:rStyle w:val="PageNumber"/>
      </w:rPr>
      <w:fldChar w:fldCharType="end"/>
    </w:r>
  </w:p>
  <w:p w:rsidR="00D05B47" w:rsidRDefault="00D05B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B47" w:rsidRDefault="00654407" w:rsidP="00827BA8">
    <w:pPr>
      <w:pStyle w:val="Footer"/>
      <w:framePr w:wrap="around" w:vAnchor="text" w:hAnchor="margin" w:xAlign="center" w:y="1"/>
      <w:rPr>
        <w:rStyle w:val="PageNumber"/>
      </w:rPr>
    </w:pPr>
    <w:r>
      <w:rPr>
        <w:rStyle w:val="PageNumber"/>
      </w:rPr>
      <w:fldChar w:fldCharType="begin"/>
    </w:r>
    <w:r w:rsidR="00D05B47">
      <w:rPr>
        <w:rStyle w:val="PageNumber"/>
      </w:rPr>
      <w:instrText xml:space="preserve">PAGE  </w:instrText>
    </w:r>
    <w:r>
      <w:rPr>
        <w:rStyle w:val="PageNumber"/>
      </w:rPr>
      <w:fldChar w:fldCharType="separate"/>
    </w:r>
    <w:r w:rsidR="000A67CC">
      <w:rPr>
        <w:rStyle w:val="PageNumber"/>
        <w:noProof/>
      </w:rPr>
      <w:t>1</w:t>
    </w:r>
    <w:r>
      <w:rPr>
        <w:rStyle w:val="PageNumber"/>
      </w:rPr>
      <w:fldChar w:fldCharType="end"/>
    </w:r>
  </w:p>
  <w:p w:rsidR="00D05B47" w:rsidRDefault="00D05B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7CC" w:rsidRDefault="000A67CC">
      <w:r>
        <w:separator/>
      </w:r>
    </w:p>
  </w:footnote>
  <w:footnote w:type="continuationSeparator" w:id="0">
    <w:p w:rsidR="000A67CC" w:rsidRDefault="000A67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B47" w:rsidRDefault="002A4E00" w:rsidP="00EC65D5">
    <w:pPr>
      <w:pStyle w:val="Header"/>
      <w:jc w:val="right"/>
    </w:pPr>
    <w:r>
      <w:t>16</w:t>
    </w:r>
    <w:r w:rsidR="00EC65D5">
      <w:t xml:space="preserve"> December 2015</w:t>
    </w:r>
  </w:p>
  <w:p w:rsidR="00CD0789" w:rsidRDefault="00D05B47" w:rsidP="00CD0789">
    <w:pPr>
      <w:pStyle w:val="Header"/>
      <w:jc w:val="right"/>
    </w:pPr>
    <w:r>
      <w:t>JLAB-TN-</w:t>
    </w:r>
    <w:r w:rsidR="00EC65D5">
      <w:t>15</w:t>
    </w:r>
    <w:r w:rsidR="00221121">
      <w:t>-</w:t>
    </w:r>
    <w:r w:rsidR="00413A2F">
      <w:t>052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06F38"/>
    <w:multiLevelType w:val="hybridMultilevel"/>
    <w:tmpl w:val="00BEE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2102FD"/>
    <w:multiLevelType w:val="hybridMultilevel"/>
    <w:tmpl w:val="ABC40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E3706F"/>
    <w:multiLevelType w:val="hybridMultilevel"/>
    <w:tmpl w:val="647428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D1151AB"/>
    <w:multiLevelType w:val="hybridMultilevel"/>
    <w:tmpl w:val="7A0C7B42"/>
    <w:lvl w:ilvl="0" w:tplc="32C63812">
      <w:start w:val="1"/>
      <w:numFmt w:val="bullet"/>
      <w:lvlText w:val="—"/>
      <w:lvlJc w:val="left"/>
      <w:pPr>
        <w:ind w:left="720" w:hanging="360"/>
      </w:pPr>
      <w:rPr>
        <w:rFonts w:ascii="Hute" w:hAnsi="Hut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B57FEE"/>
    <w:multiLevelType w:val="hybridMultilevel"/>
    <w:tmpl w:val="D8D894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74EB1B70"/>
    <w:multiLevelType w:val="hybridMultilevel"/>
    <w:tmpl w:val="809E9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8C60821"/>
    <w:multiLevelType w:val="hybridMultilevel"/>
    <w:tmpl w:val="100AB5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A6846F8"/>
    <w:multiLevelType w:val="hybridMultilevel"/>
    <w:tmpl w:val="A5006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6"/>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A72"/>
    <w:rsid w:val="00003670"/>
    <w:rsid w:val="000060CE"/>
    <w:rsid w:val="00006D1C"/>
    <w:rsid w:val="0001248C"/>
    <w:rsid w:val="00013E4B"/>
    <w:rsid w:val="000158D3"/>
    <w:rsid w:val="0002345B"/>
    <w:rsid w:val="0002662F"/>
    <w:rsid w:val="00027788"/>
    <w:rsid w:val="00030BFC"/>
    <w:rsid w:val="00033856"/>
    <w:rsid w:val="00033BA2"/>
    <w:rsid w:val="00034152"/>
    <w:rsid w:val="00040C38"/>
    <w:rsid w:val="000507D9"/>
    <w:rsid w:val="00050865"/>
    <w:rsid w:val="00052403"/>
    <w:rsid w:val="00053E83"/>
    <w:rsid w:val="0005747B"/>
    <w:rsid w:val="00061100"/>
    <w:rsid w:val="00062757"/>
    <w:rsid w:val="0006350B"/>
    <w:rsid w:val="0006546F"/>
    <w:rsid w:val="00074EBA"/>
    <w:rsid w:val="00075F2B"/>
    <w:rsid w:val="00075F93"/>
    <w:rsid w:val="00082C86"/>
    <w:rsid w:val="000832A3"/>
    <w:rsid w:val="0008585C"/>
    <w:rsid w:val="00086B8F"/>
    <w:rsid w:val="00090578"/>
    <w:rsid w:val="00090FD3"/>
    <w:rsid w:val="000A0238"/>
    <w:rsid w:val="000A67CC"/>
    <w:rsid w:val="000A7664"/>
    <w:rsid w:val="000B1EFB"/>
    <w:rsid w:val="000B2E3D"/>
    <w:rsid w:val="000C4353"/>
    <w:rsid w:val="000C5025"/>
    <w:rsid w:val="000D516F"/>
    <w:rsid w:val="000D68F9"/>
    <w:rsid w:val="000E26EF"/>
    <w:rsid w:val="000E6AA9"/>
    <w:rsid w:val="000F0AF5"/>
    <w:rsid w:val="000F38B8"/>
    <w:rsid w:val="000F4ABC"/>
    <w:rsid w:val="001010C2"/>
    <w:rsid w:val="00104D30"/>
    <w:rsid w:val="001052C8"/>
    <w:rsid w:val="00116CB2"/>
    <w:rsid w:val="00117528"/>
    <w:rsid w:val="001241C1"/>
    <w:rsid w:val="001253E2"/>
    <w:rsid w:val="00126EAC"/>
    <w:rsid w:val="00127EA2"/>
    <w:rsid w:val="0013535C"/>
    <w:rsid w:val="00140C74"/>
    <w:rsid w:val="0014465A"/>
    <w:rsid w:val="00150DE1"/>
    <w:rsid w:val="00151BBC"/>
    <w:rsid w:val="001527A1"/>
    <w:rsid w:val="0015357F"/>
    <w:rsid w:val="001577E1"/>
    <w:rsid w:val="00162318"/>
    <w:rsid w:val="00162E77"/>
    <w:rsid w:val="00167FC9"/>
    <w:rsid w:val="00171C37"/>
    <w:rsid w:val="001735E0"/>
    <w:rsid w:val="00173BBC"/>
    <w:rsid w:val="001821D6"/>
    <w:rsid w:val="00192D34"/>
    <w:rsid w:val="0019648F"/>
    <w:rsid w:val="00196D9D"/>
    <w:rsid w:val="001A0FC5"/>
    <w:rsid w:val="001A3B2D"/>
    <w:rsid w:val="001B0696"/>
    <w:rsid w:val="001B0CC4"/>
    <w:rsid w:val="001B2CB4"/>
    <w:rsid w:val="001B6B64"/>
    <w:rsid w:val="001C075A"/>
    <w:rsid w:val="001C22A1"/>
    <w:rsid w:val="001C488E"/>
    <w:rsid w:val="001D1F4A"/>
    <w:rsid w:val="001D689B"/>
    <w:rsid w:val="001D7EFA"/>
    <w:rsid w:val="001F129F"/>
    <w:rsid w:val="001F7B65"/>
    <w:rsid w:val="0020035C"/>
    <w:rsid w:val="002004E7"/>
    <w:rsid w:val="0020780E"/>
    <w:rsid w:val="00216917"/>
    <w:rsid w:val="00221121"/>
    <w:rsid w:val="00221E60"/>
    <w:rsid w:val="00223C46"/>
    <w:rsid w:val="00226CA5"/>
    <w:rsid w:val="00227B89"/>
    <w:rsid w:val="00233631"/>
    <w:rsid w:val="002372D9"/>
    <w:rsid w:val="0024199C"/>
    <w:rsid w:val="00243551"/>
    <w:rsid w:val="00243FAD"/>
    <w:rsid w:val="00244309"/>
    <w:rsid w:val="0024720F"/>
    <w:rsid w:val="00247304"/>
    <w:rsid w:val="002525E7"/>
    <w:rsid w:val="00253FD4"/>
    <w:rsid w:val="002621E7"/>
    <w:rsid w:val="00264B39"/>
    <w:rsid w:val="00265114"/>
    <w:rsid w:val="0027671C"/>
    <w:rsid w:val="00277365"/>
    <w:rsid w:val="002807DC"/>
    <w:rsid w:val="00281B46"/>
    <w:rsid w:val="0028201D"/>
    <w:rsid w:val="00290650"/>
    <w:rsid w:val="002920C0"/>
    <w:rsid w:val="00292672"/>
    <w:rsid w:val="00292918"/>
    <w:rsid w:val="00294043"/>
    <w:rsid w:val="002943E8"/>
    <w:rsid w:val="002950C1"/>
    <w:rsid w:val="0029620F"/>
    <w:rsid w:val="002A0EA3"/>
    <w:rsid w:val="002A3B35"/>
    <w:rsid w:val="002A4E00"/>
    <w:rsid w:val="002B2484"/>
    <w:rsid w:val="002B2C16"/>
    <w:rsid w:val="002B41CD"/>
    <w:rsid w:val="002B56CA"/>
    <w:rsid w:val="002B68F4"/>
    <w:rsid w:val="002B6987"/>
    <w:rsid w:val="002C0354"/>
    <w:rsid w:val="002C2AC9"/>
    <w:rsid w:val="002C38CF"/>
    <w:rsid w:val="002C71D8"/>
    <w:rsid w:val="002D165D"/>
    <w:rsid w:val="002E095C"/>
    <w:rsid w:val="002E3368"/>
    <w:rsid w:val="002E6A9B"/>
    <w:rsid w:val="002F01BC"/>
    <w:rsid w:val="0030068E"/>
    <w:rsid w:val="00302967"/>
    <w:rsid w:val="00303C78"/>
    <w:rsid w:val="00303EFC"/>
    <w:rsid w:val="0030481C"/>
    <w:rsid w:val="003060DB"/>
    <w:rsid w:val="00306E45"/>
    <w:rsid w:val="00313A41"/>
    <w:rsid w:val="00314867"/>
    <w:rsid w:val="00316165"/>
    <w:rsid w:val="00316ABE"/>
    <w:rsid w:val="00321738"/>
    <w:rsid w:val="00326826"/>
    <w:rsid w:val="003300FC"/>
    <w:rsid w:val="003340A6"/>
    <w:rsid w:val="00340C1E"/>
    <w:rsid w:val="00342E10"/>
    <w:rsid w:val="0035500E"/>
    <w:rsid w:val="003554C0"/>
    <w:rsid w:val="00355557"/>
    <w:rsid w:val="00362D3E"/>
    <w:rsid w:val="0036373F"/>
    <w:rsid w:val="00364535"/>
    <w:rsid w:val="00383089"/>
    <w:rsid w:val="00383C03"/>
    <w:rsid w:val="00383D8B"/>
    <w:rsid w:val="00385691"/>
    <w:rsid w:val="003918E0"/>
    <w:rsid w:val="003921C3"/>
    <w:rsid w:val="0039236B"/>
    <w:rsid w:val="00395F17"/>
    <w:rsid w:val="003A234F"/>
    <w:rsid w:val="003A3B3C"/>
    <w:rsid w:val="003A4EC0"/>
    <w:rsid w:val="003A66A2"/>
    <w:rsid w:val="003B4380"/>
    <w:rsid w:val="003B4A41"/>
    <w:rsid w:val="003B72C1"/>
    <w:rsid w:val="003C0966"/>
    <w:rsid w:val="003C17C4"/>
    <w:rsid w:val="003C1C11"/>
    <w:rsid w:val="003C7008"/>
    <w:rsid w:val="003C74CE"/>
    <w:rsid w:val="003C78E4"/>
    <w:rsid w:val="003D2642"/>
    <w:rsid w:val="003D390E"/>
    <w:rsid w:val="003D5F5E"/>
    <w:rsid w:val="003D6B8A"/>
    <w:rsid w:val="003D78CC"/>
    <w:rsid w:val="003E0405"/>
    <w:rsid w:val="003E2883"/>
    <w:rsid w:val="003E3B79"/>
    <w:rsid w:val="003E4A2D"/>
    <w:rsid w:val="003E5657"/>
    <w:rsid w:val="003E666F"/>
    <w:rsid w:val="003F4BD1"/>
    <w:rsid w:val="003F4DF9"/>
    <w:rsid w:val="003F4E72"/>
    <w:rsid w:val="004029AF"/>
    <w:rsid w:val="00410FDE"/>
    <w:rsid w:val="0041263B"/>
    <w:rsid w:val="00413A2F"/>
    <w:rsid w:val="00424DD9"/>
    <w:rsid w:val="0043341F"/>
    <w:rsid w:val="00434795"/>
    <w:rsid w:val="00435C33"/>
    <w:rsid w:val="00436735"/>
    <w:rsid w:val="004373EC"/>
    <w:rsid w:val="004415AB"/>
    <w:rsid w:val="00441F7A"/>
    <w:rsid w:val="004436B0"/>
    <w:rsid w:val="00443A8D"/>
    <w:rsid w:val="00447C8B"/>
    <w:rsid w:val="004524EB"/>
    <w:rsid w:val="00453E6C"/>
    <w:rsid w:val="004557B0"/>
    <w:rsid w:val="004561B4"/>
    <w:rsid w:val="0045681C"/>
    <w:rsid w:val="00456D54"/>
    <w:rsid w:val="00460EE9"/>
    <w:rsid w:val="0046236E"/>
    <w:rsid w:val="00462511"/>
    <w:rsid w:val="00464B23"/>
    <w:rsid w:val="004705A3"/>
    <w:rsid w:val="004810AB"/>
    <w:rsid w:val="00482B9E"/>
    <w:rsid w:val="00484F94"/>
    <w:rsid w:val="00485C92"/>
    <w:rsid w:val="004931A6"/>
    <w:rsid w:val="004975F3"/>
    <w:rsid w:val="004A222E"/>
    <w:rsid w:val="004A2371"/>
    <w:rsid w:val="004A331E"/>
    <w:rsid w:val="004B1AD5"/>
    <w:rsid w:val="004B22DF"/>
    <w:rsid w:val="004B4FBA"/>
    <w:rsid w:val="004B4FEB"/>
    <w:rsid w:val="004C175F"/>
    <w:rsid w:val="004C2C6C"/>
    <w:rsid w:val="004C3A62"/>
    <w:rsid w:val="004D13B3"/>
    <w:rsid w:val="004E3A00"/>
    <w:rsid w:val="004F3AFD"/>
    <w:rsid w:val="00500CFB"/>
    <w:rsid w:val="00503072"/>
    <w:rsid w:val="00504942"/>
    <w:rsid w:val="00506706"/>
    <w:rsid w:val="005169BB"/>
    <w:rsid w:val="00516FE4"/>
    <w:rsid w:val="00520327"/>
    <w:rsid w:val="00525CAA"/>
    <w:rsid w:val="0052760D"/>
    <w:rsid w:val="0053076D"/>
    <w:rsid w:val="00530BE4"/>
    <w:rsid w:val="005315A0"/>
    <w:rsid w:val="00537601"/>
    <w:rsid w:val="00540609"/>
    <w:rsid w:val="00545CC7"/>
    <w:rsid w:val="005618F4"/>
    <w:rsid w:val="00572849"/>
    <w:rsid w:val="00584E24"/>
    <w:rsid w:val="00585175"/>
    <w:rsid w:val="00591CC3"/>
    <w:rsid w:val="00592426"/>
    <w:rsid w:val="00595A50"/>
    <w:rsid w:val="005A19AF"/>
    <w:rsid w:val="005B2555"/>
    <w:rsid w:val="005C17AD"/>
    <w:rsid w:val="005C1D2F"/>
    <w:rsid w:val="005D30F6"/>
    <w:rsid w:val="005D334A"/>
    <w:rsid w:val="005D38F0"/>
    <w:rsid w:val="005D450D"/>
    <w:rsid w:val="005D6FF6"/>
    <w:rsid w:val="005E1980"/>
    <w:rsid w:val="00600A96"/>
    <w:rsid w:val="00602565"/>
    <w:rsid w:val="00611457"/>
    <w:rsid w:val="006115BD"/>
    <w:rsid w:val="0063001A"/>
    <w:rsid w:val="00630C4C"/>
    <w:rsid w:val="00633056"/>
    <w:rsid w:val="00641B68"/>
    <w:rsid w:val="00642409"/>
    <w:rsid w:val="00642892"/>
    <w:rsid w:val="00643D18"/>
    <w:rsid w:val="006479AE"/>
    <w:rsid w:val="0065025A"/>
    <w:rsid w:val="0065137E"/>
    <w:rsid w:val="00654407"/>
    <w:rsid w:val="00654DAC"/>
    <w:rsid w:val="00655B09"/>
    <w:rsid w:val="006565BB"/>
    <w:rsid w:val="00660637"/>
    <w:rsid w:val="00662BDF"/>
    <w:rsid w:val="00664BB1"/>
    <w:rsid w:val="00664D08"/>
    <w:rsid w:val="006677C2"/>
    <w:rsid w:val="00676A88"/>
    <w:rsid w:val="00677140"/>
    <w:rsid w:val="006822C4"/>
    <w:rsid w:val="00684096"/>
    <w:rsid w:val="00684754"/>
    <w:rsid w:val="006857DD"/>
    <w:rsid w:val="00686952"/>
    <w:rsid w:val="00693CED"/>
    <w:rsid w:val="0069476D"/>
    <w:rsid w:val="006953CE"/>
    <w:rsid w:val="00696DFB"/>
    <w:rsid w:val="0069718F"/>
    <w:rsid w:val="006978E7"/>
    <w:rsid w:val="006A3637"/>
    <w:rsid w:val="006B62FC"/>
    <w:rsid w:val="006C2235"/>
    <w:rsid w:val="006C2D02"/>
    <w:rsid w:val="006C4638"/>
    <w:rsid w:val="006C66EE"/>
    <w:rsid w:val="006C7115"/>
    <w:rsid w:val="006D082D"/>
    <w:rsid w:val="006D6D94"/>
    <w:rsid w:val="006E1373"/>
    <w:rsid w:val="006E2390"/>
    <w:rsid w:val="006E3B61"/>
    <w:rsid w:val="006F1271"/>
    <w:rsid w:val="006F17C1"/>
    <w:rsid w:val="00701C1B"/>
    <w:rsid w:val="00702F3E"/>
    <w:rsid w:val="00703B42"/>
    <w:rsid w:val="00705DF8"/>
    <w:rsid w:val="00707336"/>
    <w:rsid w:val="007076C4"/>
    <w:rsid w:val="007102BC"/>
    <w:rsid w:val="00714A84"/>
    <w:rsid w:val="00716249"/>
    <w:rsid w:val="00717247"/>
    <w:rsid w:val="0072535D"/>
    <w:rsid w:val="007253F1"/>
    <w:rsid w:val="0073121A"/>
    <w:rsid w:val="007313D9"/>
    <w:rsid w:val="00731631"/>
    <w:rsid w:val="00731B35"/>
    <w:rsid w:val="007330B5"/>
    <w:rsid w:val="00735DEE"/>
    <w:rsid w:val="007442AA"/>
    <w:rsid w:val="007470A0"/>
    <w:rsid w:val="00755430"/>
    <w:rsid w:val="00760102"/>
    <w:rsid w:val="007601C6"/>
    <w:rsid w:val="00760664"/>
    <w:rsid w:val="007739AF"/>
    <w:rsid w:val="007741B5"/>
    <w:rsid w:val="00776F0B"/>
    <w:rsid w:val="00780C01"/>
    <w:rsid w:val="00780E37"/>
    <w:rsid w:val="00781D57"/>
    <w:rsid w:val="007845BA"/>
    <w:rsid w:val="007917DA"/>
    <w:rsid w:val="00793CE3"/>
    <w:rsid w:val="00796B96"/>
    <w:rsid w:val="007A0E89"/>
    <w:rsid w:val="007A22EA"/>
    <w:rsid w:val="007A6B3C"/>
    <w:rsid w:val="007A7561"/>
    <w:rsid w:val="007A7E9E"/>
    <w:rsid w:val="007A7F12"/>
    <w:rsid w:val="007B7021"/>
    <w:rsid w:val="007C45E3"/>
    <w:rsid w:val="007C494E"/>
    <w:rsid w:val="007C6CA6"/>
    <w:rsid w:val="007E24CF"/>
    <w:rsid w:val="007E3274"/>
    <w:rsid w:val="007F344C"/>
    <w:rsid w:val="007F6597"/>
    <w:rsid w:val="007F6F31"/>
    <w:rsid w:val="008005BE"/>
    <w:rsid w:val="00802896"/>
    <w:rsid w:val="00813CB6"/>
    <w:rsid w:val="00821376"/>
    <w:rsid w:val="00825F5C"/>
    <w:rsid w:val="008278CA"/>
    <w:rsid w:val="00827BA8"/>
    <w:rsid w:val="008311E7"/>
    <w:rsid w:val="0083321F"/>
    <w:rsid w:val="008351A0"/>
    <w:rsid w:val="0083532B"/>
    <w:rsid w:val="008427C9"/>
    <w:rsid w:val="008447D6"/>
    <w:rsid w:val="008462E5"/>
    <w:rsid w:val="00852566"/>
    <w:rsid w:val="00853E8C"/>
    <w:rsid w:val="00857A5F"/>
    <w:rsid w:val="0086012B"/>
    <w:rsid w:val="00864197"/>
    <w:rsid w:val="00870C92"/>
    <w:rsid w:val="008774DB"/>
    <w:rsid w:val="008817AF"/>
    <w:rsid w:val="0088326C"/>
    <w:rsid w:val="008875D6"/>
    <w:rsid w:val="0089061C"/>
    <w:rsid w:val="00895F9C"/>
    <w:rsid w:val="008A311C"/>
    <w:rsid w:val="008A5B06"/>
    <w:rsid w:val="008A5BF7"/>
    <w:rsid w:val="008B01BA"/>
    <w:rsid w:val="008B0BB0"/>
    <w:rsid w:val="008B1417"/>
    <w:rsid w:val="008B22D3"/>
    <w:rsid w:val="008B7135"/>
    <w:rsid w:val="008B723C"/>
    <w:rsid w:val="008B75BA"/>
    <w:rsid w:val="008C0554"/>
    <w:rsid w:val="008C2607"/>
    <w:rsid w:val="008C2FCC"/>
    <w:rsid w:val="008C7638"/>
    <w:rsid w:val="008D0DFE"/>
    <w:rsid w:val="008D2154"/>
    <w:rsid w:val="008D46CF"/>
    <w:rsid w:val="008D7443"/>
    <w:rsid w:val="008E3CC4"/>
    <w:rsid w:val="008E6236"/>
    <w:rsid w:val="008F0829"/>
    <w:rsid w:val="008F1C0F"/>
    <w:rsid w:val="008F530F"/>
    <w:rsid w:val="008F6A8A"/>
    <w:rsid w:val="008F6CB2"/>
    <w:rsid w:val="00906552"/>
    <w:rsid w:val="00907AF1"/>
    <w:rsid w:val="00910B1B"/>
    <w:rsid w:val="00913501"/>
    <w:rsid w:val="0091509C"/>
    <w:rsid w:val="00916C2E"/>
    <w:rsid w:val="00917A6A"/>
    <w:rsid w:val="00923017"/>
    <w:rsid w:val="00925250"/>
    <w:rsid w:val="009255E1"/>
    <w:rsid w:val="00927673"/>
    <w:rsid w:val="0093003F"/>
    <w:rsid w:val="009313B0"/>
    <w:rsid w:val="00932FDA"/>
    <w:rsid w:val="00942C86"/>
    <w:rsid w:val="009434FD"/>
    <w:rsid w:val="00946A11"/>
    <w:rsid w:val="00946E89"/>
    <w:rsid w:val="009517BB"/>
    <w:rsid w:val="00951CE8"/>
    <w:rsid w:val="00956BFD"/>
    <w:rsid w:val="0096407F"/>
    <w:rsid w:val="00964C55"/>
    <w:rsid w:val="00967F90"/>
    <w:rsid w:val="00972F8D"/>
    <w:rsid w:val="0097406D"/>
    <w:rsid w:val="009803E7"/>
    <w:rsid w:val="00980921"/>
    <w:rsid w:val="009869F8"/>
    <w:rsid w:val="009902D1"/>
    <w:rsid w:val="00995B7C"/>
    <w:rsid w:val="009A38FE"/>
    <w:rsid w:val="009A400C"/>
    <w:rsid w:val="009A4BB6"/>
    <w:rsid w:val="009A4E65"/>
    <w:rsid w:val="009A66E3"/>
    <w:rsid w:val="009A70F4"/>
    <w:rsid w:val="009B1313"/>
    <w:rsid w:val="009B1E47"/>
    <w:rsid w:val="009C28C7"/>
    <w:rsid w:val="009C3768"/>
    <w:rsid w:val="009C6CC3"/>
    <w:rsid w:val="009D291D"/>
    <w:rsid w:val="009D2DC5"/>
    <w:rsid w:val="009D413A"/>
    <w:rsid w:val="009D59A6"/>
    <w:rsid w:val="009E402A"/>
    <w:rsid w:val="009F34EE"/>
    <w:rsid w:val="009F6523"/>
    <w:rsid w:val="009F6797"/>
    <w:rsid w:val="009F7449"/>
    <w:rsid w:val="00A00C5C"/>
    <w:rsid w:val="00A0495E"/>
    <w:rsid w:val="00A07E6D"/>
    <w:rsid w:val="00A10033"/>
    <w:rsid w:val="00A124AA"/>
    <w:rsid w:val="00A2352B"/>
    <w:rsid w:val="00A27C98"/>
    <w:rsid w:val="00A32F9C"/>
    <w:rsid w:val="00A36DB7"/>
    <w:rsid w:val="00A42446"/>
    <w:rsid w:val="00A466A6"/>
    <w:rsid w:val="00A4695A"/>
    <w:rsid w:val="00A50CD7"/>
    <w:rsid w:val="00A51A26"/>
    <w:rsid w:val="00A63944"/>
    <w:rsid w:val="00A63E7D"/>
    <w:rsid w:val="00A64F37"/>
    <w:rsid w:val="00A70748"/>
    <w:rsid w:val="00A74DC8"/>
    <w:rsid w:val="00A845EE"/>
    <w:rsid w:val="00A8595F"/>
    <w:rsid w:val="00A87387"/>
    <w:rsid w:val="00A919A5"/>
    <w:rsid w:val="00A9371F"/>
    <w:rsid w:val="00A95D41"/>
    <w:rsid w:val="00AA0526"/>
    <w:rsid w:val="00AA0DEA"/>
    <w:rsid w:val="00AA21E0"/>
    <w:rsid w:val="00AA29DD"/>
    <w:rsid w:val="00AA2A32"/>
    <w:rsid w:val="00AA2CBD"/>
    <w:rsid w:val="00AA3D7F"/>
    <w:rsid w:val="00AA48F6"/>
    <w:rsid w:val="00AA4C3C"/>
    <w:rsid w:val="00AA4E1D"/>
    <w:rsid w:val="00AA52F0"/>
    <w:rsid w:val="00AB0A51"/>
    <w:rsid w:val="00AB1FD2"/>
    <w:rsid w:val="00AB357B"/>
    <w:rsid w:val="00AB3DBA"/>
    <w:rsid w:val="00AB69F4"/>
    <w:rsid w:val="00AC0895"/>
    <w:rsid w:val="00AC7EC1"/>
    <w:rsid w:val="00AD0DF7"/>
    <w:rsid w:val="00AD10F1"/>
    <w:rsid w:val="00AD2C43"/>
    <w:rsid w:val="00AD35C4"/>
    <w:rsid w:val="00AD4B68"/>
    <w:rsid w:val="00AD6BE6"/>
    <w:rsid w:val="00AE3A26"/>
    <w:rsid w:val="00AE4F18"/>
    <w:rsid w:val="00AE564B"/>
    <w:rsid w:val="00AF717A"/>
    <w:rsid w:val="00B00E4E"/>
    <w:rsid w:val="00B0310B"/>
    <w:rsid w:val="00B04859"/>
    <w:rsid w:val="00B10496"/>
    <w:rsid w:val="00B16FDF"/>
    <w:rsid w:val="00B20D5A"/>
    <w:rsid w:val="00B23851"/>
    <w:rsid w:val="00B313A9"/>
    <w:rsid w:val="00B351DE"/>
    <w:rsid w:val="00B4526D"/>
    <w:rsid w:val="00B45F27"/>
    <w:rsid w:val="00B5327A"/>
    <w:rsid w:val="00B5482C"/>
    <w:rsid w:val="00B55B1D"/>
    <w:rsid w:val="00B57ECA"/>
    <w:rsid w:val="00B60F57"/>
    <w:rsid w:val="00B63E27"/>
    <w:rsid w:val="00B64629"/>
    <w:rsid w:val="00B66C76"/>
    <w:rsid w:val="00B81A9F"/>
    <w:rsid w:val="00B8239D"/>
    <w:rsid w:val="00B848CB"/>
    <w:rsid w:val="00B95129"/>
    <w:rsid w:val="00B972A0"/>
    <w:rsid w:val="00B97C06"/>
    <w:rsid w:val="00B97C9A"/>
    <w:rsid w:val="00BA2137"/>
    <w:rsid w:val="00BA22EA"/>
    <w:rsid w:val="00BA2E58"/>
    <w:rsid w:val="00BA2E7F"/>
    <w:rsid w:val="00BB15FB"/>
    <w:rsid w:val="00BB6F7E"/>
    <w:rsid w:val="00BD4ADC"/>
    <w:rsid w:val="00BD63D7"/>
    <w:rsid w:val="00BD67F3"/>
    <w:rsid w:val="00BD796C"/>
    <w:rsid w:val="00BF41CD"/>
    <w:rsid w:val="00BF4964"/>
    <w:rsid w:val="00BF4C26"/>
    <w:rsid w:val="00BF52AC"/>
    <w:rsid w:val="00C11342"/>
    <w:rsid w:val="00C13FA7"/>
    <w:rsid w:val="00C1467B"/>
    <w:rsid w:val="00C15630"/>
    <w:rsid w:val="00C16773"/>
    <w:rsid w:val="00C34CBE"/>
    <w:rsid w:val="00C356B7"/>
    <w:rsid w:val="00C35C95"/>
    <w:rsid w:val="00C363C8"/>
    <w:rsid w:val="00C421F7"/>
    <w:rsid w:val="00C42993"/>
    <w:rsid w:val="00C43753"/>
    <w:rsid w:val="00C463A4"/>
    <w:rsid w:val="00C46831"/>
    <w:rsid w:val="00C5046C"/>
    <w:rsid w:val="00C52482"/>
    <w:rsid w:val="00C545BE"/>
    <w:rsid w:val="00C5593D"/>
    <w:rsid w:val="00C60513"/>
    <w:rsid w:val="00C60B0F"/>
    <w:rsid w:val="00C66178"/>
    <w:rsid w:val="00C662E1"/>
    <w:rsid w:val="00C73D28"/>
    <w:rsid w:val="00C76845"/>
    <w:rsid w:val="00C822A3"/>
    <w:rsid w:val="00C90E0C"/>
    <w:rsid w:val="00C9247A"/>
    <w:rsid w:val="00C92B2D"/>
    <w:rsid w:val="00C95D79"/>
    <w:rsid w:val="00CA091F"/>
    <w:rsid w:val="00CA39FB"/>
    <w:rsid w:val="00CA4CC3"/>
    <w:rsid w:val="00CA7079"/>
    <w:rsid w:val="00CB0D40"/>
    <w:rsid w:val="00CC05DF"/>
    <w:rsid w:val="00CC0C47"/>
    <w:rsid w:val="00CC4FEA"/>
    <w:rsid w:val="00CC5747"/>
    <w:rsid w:val="00CD0789"/>
    <w:rsid w:val="00CD1D9B"/>
    <w:rsid w:val="00CD2A80"/>
    <w:rsid w:val="00CD2B39"/>
    <w:rsid w:val="00CD314C"/>
    <w:rsid w:val="00CD3CCF"/>
    <w:rsid w:val="00CD4B34"/>
    <w:rsid w:val="00CD5571"/>
    <w:rsid w:val="00CD782C"/>
    <w:rsid w:val="00CD7C45"/>
    <w:rsid w:val="00CE1B05"/>
    <w:rsid w:val="00CE1C91"/>
    <w:rsid w:val="00CF4DF7"/>
    <w:rsid w:val="00D034E1"/>
    <w:rsid w:val="00D05B47"/>
    <w:rsid w:val="00D06EBE"/>
    <w:rsid w:val="00D07BD6"/>
    <w:rsid w:val="00D14326"/>
    <w:rsid w:val="00D168CB"/>
    <w:rsid w:val="00D178CF"/>
    <w:rsid w:val="00D17A8E"/>
    <w:rsid w:val="00D20665"/>
    <w:rsid w:val="00D263C6"/>
    <w:rsid w:val="00D33F6C"/>
    <w:rsid w:val="00D359B9"/>
    <w:rsid w:val="00D35F33"/>
    <w:rsid w:val="00D40E25"/>
    <w:rsid w:val="00D423DE"/>
    <w:rsid w:val="00D44107"/>
    <w:rsid w:val="00D47E40"/>
    <w:rsid w:val="00D51447"/>
    <w:rsid w:val="00D52E65"/>
    <w:rsid w:val="00D53CF1"/>
    <w:rsid w:val="00D53F42"/>
    <w:rsid w:val="00D54155"/>
    <w:rsid w:val="00D546FF"/>
    <w:rsid w:val="00D54C45"/>
    <w:rsid w:val="00D5561D"/>
    <w:rsid w:val="00D64123"/>
    <w:rsid w:val="00D677B0"/>
    <w:rsid w:val="00D80C35"/>
    <w:rsid w:val="00D81218"/>
    <w:rsid w:val="00D83718"/>
    <w:rsid w:val="00D8467B"/>
    <w:rsid w:val="00D85010"/>
    <w:rsid w:val="00D8550D"/>
    <w:rsid w:val="00D92E89"/>
    <w:rsid w:val="00D94B87"/>
    <w:rsid w:val="00DA1579"/>
    <w:rsid w:val="00DA2CCD"/>
    <w:rsid w:val="00DA44E3"/>
    <w:rsid w:val="00DA479A"/>
    <w:rsid w:val="00DB0634"/>
    <w:rsid w:val="00DB0BAD"/>
    <w:rsid w:val="00DC0EE3"/>
    <w:rsid w:val="00DC38DF"/>
    <w:rsid w:val="00DC6A9F"/>
    <w:rsid w:val="00DC781B"/>
    <w:rsid w:val="00DD477D"/>
    <w:rsid w:val="00DD5CB6"/>
    <w:rsid w:val="00DE2961"/>
    <w:rsid w:val="00DE36D9"/>
    <w:rsid w:val="00DE7815"/>
    <w:rsid w:val="00DF0651"/>
    <w:rsid w:val="00DF0FC9"/>
    <w:rsid w:val="00DF1583"/>
    <w:rsid w:val="00DF49DC"/>
    <w:rsid w:val="00DF5F38"/>
    <w:rsid w:val="00DF61D7"/>
    <w:rsid w:val="00E07A62"/>
    <w:rsid w:val="00E12008"/>
    <w:rsid w:val="00E154C9"/>
    <w:rsid w:val="00E201B5"/>
    <w:rsid w:val="00E3020D"/>
    <w:rsid w:val="00E3135C"/>
    <w:rsid w:val="00E355E7"/>
    <w:rsid w:val="00E37A09"/>
    <w:rsid w:val="00E41CC8"/>
    <w:rsid w:val="00E4599A"/>
    <w:rsid w:val="00E52142"/>
    <w:rsid w:val="00E521EB"/>
    <w:rsid w:val="00E53F16"/>
    <w:rsid w:val="00E6171F"/>
    <w:rsid w:val="00E623EF"/>
    <w:rsid w:val="00E63286"/>
    <w:rsid w:val="00E65832"/>
    <w:rsid w:val="00E670A3"/>
    <w:rsid w:val="00E71723"/>
    <w:rsid w:val="00E71C43"/>
    <w:rsid w:val="00E76CFA"/>
    <w:rsid w:val="00E77DFF"/>
    <w:rsid w:val="00E81413"/>
    <w:rsid w:val="00E93656"/>
    <w:rsid w:val="00E946D3"/>
    <w:rsid w:val="00E95F60"/>
    <w:rsid w:val="00EA20DF"/>
    <w:rsid w:val="00EA557C"/>
    <w:rsid w:val="00EB3213"/>
    <w:rsid w:val="00EC054B"/>
    <w:rsid w:val="00EC24C4"/>
    <w:rsid w:val="00EC4CF7"/>
    <w:rsid w:val="00EC5EBF"/>
    <w:rsid w:val="00EC65D5"/>
    <w:rsid w:val="00ED03EB"/>
    <w:rsid w:val="00ED1230"/>
    <w:rsid w:val="00ED5401"/>
    <w:rsid w:val="00ED7662"/>
    <w:rsid w:val="00EE053A"/>
    <w:rsid w:val="00EE2418"/>
    <w:rsid w:val="00EE7B1A"/>
    <w:rsid w:val="00EE7C72"/>
    <w:rsid w:val="00F00F98"/>
    <w:rsid w:val="00F053A9"/>
    <w:rsid w:val="00F05456"/>
    <w:rsid w:val="00F05DD6"/>
    <w:rsid w:val="00F06D60"/>
    <w:rsid w:val="00F07BF0"/>
    <w:rsid w:val="00F118AC"/>
    <w:rsid w:val="00F15AC0"/>
    <w:rsid w:val="00F15DCA"/>
    <w:rsid w:val="00F2113A"/>
    <w:rsid w:val="00F2670F"/>
    <w:rsid w:val="00F27AFE"/>
    <w:rsid w:val="00F31914"/>
    <w:rsid w:val="00F32630"/>
    <w:rsid w:val="00F36333"/>
    <w:rsid w:val="00F37D36"/>
    <w:rsid w:val="00F4175D"/>
    <w:rsid w:val="00F41B1E"/>
    <w:rsid w:val="00F43095"/>
    <w:rsid w:val="00F43392"/>
    <w:rsid w:val="00F44D2C"/>
    <w:rsid w:val="00F45500"/>
    <w:rsid w:val="00F45BC2"/>
    <w:rsid w:val="00F46B9F"/>
    <w:rsid w:val="00F52A72"/>
    <w:rsid w:val="00F548F4"/>
    <w:rsid w:val="00F60CB5"/>
    <w:rsid w:val="00F60CEA"/>
    <w:rsid w:val="00F6411D"/>
    <w:rsid w:val="00F66328"/>
    <w:rsid w:val="00F80958"/>
    <w:rsid w:val="00F8681C"/>
    <w:rsid w:val="00F91CD8"/>
    <w:rsid w:val="00F92DE5"/>
    <w:rsid w:val="00F951DD"/>
    <w:rsid w:val="00FA08D4"/>
    <w:rsid w:val="00FA1CA2"/>
    <w:rsid w:val="00FA25BC"/>
    <w:rsid w:val="00FA5527"/>
    <w:rsid w:val="00FA674D"/>
    <w:rsid w:val="00FB327F"/>
    <w:rsid w:val="00FC094A"/>
    <w:rsid w:val="00FC1495"/>
    <w:rsid w:val="00FC58FC"/>
    <w:rsid w:val="00FD22B6"/>
    <w:rsid w:val="00FD6FEE"/>
    <w:rsid w:val="00FE00CA"/>
    <w:rsid w:val="00FE01DA"/>
    <w:rsid w:val="00FE31F0"/>
    <w:rsid w:val="00FF0BC5"/>
    <w:rsid w:val="00FF474C"/>
    <w:rsid w:val="00FF6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A80"/>
    <w:rPr>
      <w:sz w:val="24"/>
      <w:szCs w:val="24"/>
    </w:rPr>
  </w:style>
  <w:style w:type="paragraph" w:styleId="Heading1">
    <w:name w:val="heading 1"/>
    <w:basedOn w:val="Normal"/>
    <w:next w:val="Normal"/>
    <w:qFormat/>
    <w:rsid w:val="003F4E72"/>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6E137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5C95"/>
    <w:pPr>
      <w:tabs>
        <w:tab w:val="center" w:pos="4320"/>
        <w:tab w:val="right" w:pos="8640"/>
      </w:tabs>
    </w:pPr>
  </w:style>
  <w:style w:type="paragraph" w:styleId="Footer">
    <w:name w:val="footer"/>
    <w:basedOn w:val="Normal"/>
    <w:rsid w:val="00C35C95"/>
    <w:pPr>
      <w:tabs>
        <w:tab w:val="center" w:pos="4320"/>
        <w:tab w:val="right" w:pos="8640"/>
      </w:tabs>
    </w:pPr>
  </w:style>
  <w:style w:type="character" w:styleId="PageNumber">
    <w:name w:val="page number"/>
    <w:basedOn w:val="DefaultParagraphFont"/>
    <w:rsid w:val="00827BA8"/>
  </w:style>
  <w:style w:type="paragraph" w:styleId="ListParagraph">
    <w:name w:val="List Paragraph"/>
    <w:basedOn w:val="Normal"/>
    <w:uiPriority w:val="34"/>
    <w:qFormat/>
    <w:rsid w:val="00FE01DA"/>
    <w:pPr>
      <w:ind w:left="720"/>
    </w:pPr>
  </w:style>
  <w:style w:type="character" w:styleId="Hyperlink">
    <w:name w:val="Hyperlink"/>
    <w:uiPriority w:val="99"/>
    <w:unhideWhenUsed/>
    <w:rsid w:val="00A32F9C"/>
    <w:rPr>
      <w:color w:val="0000FF"/>
      <w:u w:val="single"/>
    </w:rPr>
  </w:style>
  <w:style w:type="character" w:styleId="FollowedHyperlink">
    <w:name w:val="FollowedHyperlink"/>
    <w:uiPriority w:val="99"/>
    <w:semiHidden/>
    <w:unhideWhenUsed/>
    <w:rsid w:val="007741B5"/>
    <w:rPr>
      <w:color w:val="800080"/>
      <w:u w:val="single"/>
    </w:rPr>
  </w:style>
  <w:style w:type="table" w:styleId="TableGrid">
    <w:name w:val="Table Grid"/>
    <w:basedOn w:val="TableNormal"/>
    <w:uiPriority w:val="59"/>
    <w:rsid w:val="00A63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0789"/>
    <w:rPr>
      <w:rFonts w:ascii="Tahoma" w:hAnsi="Tahoma" w:cs="Tahoma"/>
      <w:sz w:val="16"/>
      <w:szCs w:val="16"/>
    </w:rPr>
  </w:style>
  <w:style w:type="character" w:customStyle="1" w:styleId="BalloonTextChar">
    <w:name w:val="Balloon Text Char"/>
    <w:basedOn w:val="DefaultParagraphFont"/>
    <w:link w:val="BalloonText"/>
    <w:uiPriority w:val="99"/>
    <w:semiHidden/>
    <w:rsid w:val="00CD0789"/>
    <w:rPr>
      <w:rFonts w:ascii="Tahoma" w:hAnsi="Tahoma" w:cs="Tahoma"/>
      <w:sz w:val="16"/>
      <w:szCs w:val="16"/>
    </w:rPr>
  </w:style>
  <w:style w:type="paragraph" w:styleId="NoSpacing">
    <w:name w:val="No Spacing"/>
    <w:uiPriority w:val="1"/>
    <w:qFormat/>
    <w:rsid w:val="00424DD9"/>
    <w:rPr>
      <w:sz w:val="24"/>
      <w:szCs w:val="24"/>
    </w:rPr>
  </w:style>
  <w:style w:type="character" w:styleId="PlaceholderText">
    <w:name w:val="Placeholder Text"/>
    <w:basedOn w:val="DefaultParagraphFont"/>
    <w:uiPriority w:val="99"/>
    <w:semiHidden/>
    <w:rsid w:val="00DA1579"/>
    <w:rPr>
      <w:color w:val="808080"/>
    </w:rPr>
  </w:style>
  <w:style w:type="paragraph" w:styleId="HTMLPreformatted">
    <w:name w:val="HTML Preformatted"/>
    <w:basedOn w:val="Normal"/>
    <w:link w:val="HTMLPreformattedChar"/>
    <w:uiPriority w:val="99"/>
    <w:semiHidden/>
    <w:unhideWhenUsed/>
    <w:rsid w:val="00906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906552"/>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A80"/>
    <w:rPr>
      <w:sz w:val="24"/>
      <w:szCs w:val="24"/>
    </w:rPr>
  </w:style>
  <w:style w:type="paragraph" w:styleId="Heading1">
    <w:name w:val="heading 1"/>
    <w:basedOn w:val="Normal"/>
    <w:next w:val="Normal"/>
    <w:qFormat/>
    <w:rsid w:val="003F4E72"/>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6E137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5C95"/>
    <w:pPr>
      <w:tabs>
        <w:tab w:val="center" w:pos="4320"/>
        <w:tab w:val="right" w:pos="8640"/>
      </w:tabs>
    </w:pPr>
  </w:style>
  <w:style w:type="paragraph" w:styleId="Footer">
    <w:name w:val="footer"/>
    <w:basedOn w:val="Normal"/>
    <w:rsid w:val="00C35C95"/>
    <w:pPr>
      <w:tabs>
        <w:tab w:val="center" w:pos="4320"/>
        <w:tab w:val="right" w:pos="8640"/>
      </w:tabs>
    </w:pPr>
  </w:style>
  <w:style w:type="character" w:styleId="PageNumber">
    <w:name w:val="page number"/>
    <w:basedOn w:val="DefaultParagraphFont"/>
    <w:rsid w:val="00827BA8"/>
  </w:style>
  <w:style w:type="paragraph" w:styleId="ListParagraph">
    <w:name w:val="List Paragraph"/>
    <w:basedOn w:val="Normal"/>
    <w:uiPriority w:val="34"/>
    <w:qFormat/>
    <w:rsid w:val="00FE01DA"/>
    <w:pPr>
      <w:ind w:left="720"/>
    </w:pPr>
  </w:style>
  <w:style w:type="character" w:styleId="Hyperlink">
    <w:name w:val="Hyperlink"/>
    <w:uiPriority w:val="99"/>
    <w:unhideWhenUsed/>
    <w:rsid w:val="00A32F9C"/>
    <w:rPr>
      <w:color w:val="0000FF"/>
      <w:u w:val="single"/>
    </w:rPr>
  </w:style>
  <w:style w:type="character" w:styleId="FollowedHyperlink">
    <w:name w:val="FollowedHyperlink"/>
    <w:uiPriority w:val="99"/>
    <w:semiHidden/>
    <w:unhideWhenUsed/>
    <w:rsid w:val="007741B5"/>
    <w:rPr>
      <w:color w:val="800080"/>
      <w:u w:val="single"/>
    </w:rPr>
  </w:style>
  <w:style w:type="table" w:styleId="TableGrid">
    <w:name w:val="Table Grid"/>
    <w:basedOn w:val="TableNormal"/>
    <w:uiPriority w:val="59"/>
    <w:rsid w:val="00A63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0789"/>
    <w:rPr>
      <w:rFonts w:ascii="Tahoma" w:hAnsi="Tahoma" w:cs="Tahoma"/>
      <w:sz w:val="16"/>
      <w:szCs w:val="16"/>
    </w:rPr>
  </w:style>
  <w:style w:type="character" w:customStyle="1" w:styleId="BalloonTextChar">
    <w:name w:val="Balloon Text Char"/>
    <w:basedOn w:val="DefaultParagraphFont"/>
    <w:link w:val="BalloonText"/>
    <w:uiPriority w:val="99"/>
    <w:semiHidden/>
    <w:rsid w:val="00CD0789"/>
    <w:rPr>
      <w:rFonts w:ascii="Tahoma" w:hAnsi="Tahoma" w:cs="Tahoma"/>
      <w:sz w:val="16"/>
      <w:szCs w:val="16"/>
    </w:rPr>
  </w:style>
  <w:style w:type="paragraph" w:styleId="NoSpacing">
    <w:name w:val="No Spacing"/>
    <w:uiPriority w:val="1"/>
    <w:qFormat/>
    <w:rsid w:val="00424DD9"/>
    <w:rPr>
      <w:sz w:val="24"/>
      <w:szCs w:val="24"/>
    </w:rPr>
  </w:style>
  <w:style w:type="character" w:styleId="PlaceholderText">
    <w:name w:val="Placeholder Text"/>
    <w:basedOn w:val="DefaultParagraphFont"/>
    <w:uiPriority w:val="99"/>
    <w:semiHidden/>
    <w:rsid w:val="00DA1579"/>
    <w:rPr>
      <w:color w:val="808080"/>
    </w:rPr>
  </w:style>
  <w:style w:type="paragraph" w:styleId="HTMLPreformatted">
    <w:name w:val="HTML Preformatted"/>
    <w:basedOn w:val="Normal"/>
    <w:link w:val="HTMLPreformattedChar"/>
    <w:uiPriority w:val="99"/>
    <w:semiHidden/>
    <w:unhideWhenUsed/>
    <w:rsid w:val="00906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906552"/>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119822">
      <w:bodyDiv w:val="1"/>
      <w:marLeft w:val="0"/>
      <w:marRight w:val="0"/>
      <w:marTop w:val="0"/>
      <w:marBottom w:val="0"/>
      <w:divBdr>
        <w:top w:val="none" w:sz="0" w:space="0" w:color="auto"/>
        <w:left w:val="none" w:sz="0" w:space="0" w:color="auto"/>
        <w:bottom w:val="none" w:sz="0" w:space="0" w:color="auto"/>
        <w:right w:val="none" w:sz="0" w:space="0" w:color="auto"/>
      </w:divBdr>
    </w:div>
    <w:div w:id="990715254">
      <w:bodyDiv w:val="1"/>
      <w:marLeft w:val="0"/>
      <w:marRight w:val="0"/>
      <w:marTop w:val="0"/>
      <w:marBottom w:val="0"/>
      <w:divBdr>
        <w:top w:val="none" w:sz="0" w:space="0" w:color="auto"/>
        <w:left w:val="none" w:sz="0" w:space="0" w:color="auto"/>
        <w:bottom w:val="none" w:sz="0" w:space="0" w:color="auto"/>
        <w:right w:val="none" w:sz="0" w:space="0" w:color="auto"/>
      </w:divBdr>
    </w:div>
    <w:div w:id="1730764468">
      <w:bodyDiv w:val="1"/>
      <w:marLeft w:val="0"/>
      <w:marRight w:val="0"/>
      <w:marTop w:val="0"/>
      <w:marBottom w:val="0"/>
      <w:divBdr>
        <w:top w:val="none" w:sz="0" w:space="0" w:color="auto"/>
        <w:left w:val="none" w:sz="0" w:space="0" w:color="auto"/>
        <w:bottom w:val="none" w:sz="0" w:space="0" w:color="auto"/>
        <w:right w:val="none" w:sz="0" w:space="0" w:color="auto"/>
      </w:divBdr>
    </w:div>
    <w:div w:id="1903708531">
      <w:bodyDiv w:val="1"/>
      <w:marLeft w:val="0"/>
      <w:marRight w:val="0"/>
      <w:marTop w:val="0"/>
      <w:marBottom w:val="0"/>
      <w:divBdr>
        <w:top w:val="none" w:sz="0" w:space="0" w:color="auto"/>
        <w:left w:val="none" w:sz="0" w:space="0" w:color="auto"/>
        <w:bottom w:val="none" w:sz="0" w:space="0" w:color="auto"/>
        <w:right w:val="none" w:sz="0" w:space="0" w:color="auto"/>
      </w:divBdr>
    </w:div>
    <w:div w:id="1945724034">
      <w:bodyDiv w:val="1"/>
      <w:marLeft w:val="0"/>
      <w:marRight w:val="0"/>
      <w:marTop w:val="0"/>
      <w:marBottom w:val="0"/>
      <w:divBdr>
        <w:top w:val="none" w:sz="0" w:space="0" w:color="auto"/>
        <w:left w:val="none" w:sz="0" w:space="0" w:color="auto"/>
        <w:bottom w:val="none" w:sz="0" w:space="0" w:color="auto"/>
        <w:right w:val="none" w:sz="0" w:space="0" w:color="auto"/>
      </w:divBdr>
    </w:div>
    <w:div w:id="214030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inyurl.com/nsph5c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tinyurl.com/ntwb2n4"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logbooks.jlab.org/entry/3283358" TargetMode="External"/><Relationship Id="rId10" Type="http://schemas.openxmlformats.org/officeDocument/2006/relationships/image" Target="media/image2.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books.jlab.org/entry/3351437"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EEF8B8-F04C-4D26-BC85-EAAF4EEAC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1248</TotalTime>
  <Pages>8</Pages>
  <Words>1704</Words>
  <Characters>9714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Accuracy of Prediction of the Multi-pass BBU Threshold in BTF and “Decay Time” Measurements</vt:lpstr>
    </vt:vector>
  </TitlesOfParts>
  <Company>JLAB</Company>
  <LinksUpToDate>false</LinksUpToDate>
  <CharactersWithSpaces>11396</CharactersWithSpaces>
  <SharedDoc>false</SharedDoc>
  <HLinks>
    <vt:vector size="6" baseType="variant">
      <vt:variant>
        <vt:i4>2228262</vt:i4>
      </vt:variant>
      <vt:variant>
        <vt:i4>0</vt:i4>
      </vt:variant>
      <vt:variant>
        <vt:i4>0</vt:i4>
      </vt:variant>
      <vt:variant>
        <vt:i4>5</vt:i4>
      </vt:variant>
      <vt:variant>
        <vt:lpwstr>http://www.cockcroft.ac.uk/events/HOMSC12/location.html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Accuracy of Prediction of the Multi-pass BBU Threshold in BTF and “Decay Time” Measurements</dc:title>
  <dc:creator>Eduard Pozdeyev</dc:creator>
  <cp:lastModifiedBy>Chris Tennant</cp:lastModifiedBy>
  <cp:revision>310</cp:revision>
  <cp:lastPrinted>2013-03-14T15:43:00Z</cp:lastPrinted>
  <dcterms:created xsi:type="dcterms:W3CDTF">2014-03-03T14:28:00Z</dcterms:created>
  <dcterms:modified xsi:type="dcterms:W3CDTF">2015-12-17T17:42:00Z</dcterms:modified>
</cp:coreProperties>
</file>