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952F" w14:textId="77777777" w:rsidR="001E7BF5" w:rsidRPr="00BA10C5" w:rsidRDefault="001E7BF5" w:rsidP="001E7B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Small Project </w:t>
      </w:r>
      <w:r w:rsidRPr="00BA10C5">
        <w:rPr>
          <w:b/>
          <w:sz w:val="28"/>
          <w:szCs w:val="28"/>
        </w:rPr>
        <w:t>Quarterly Report</w:t>
      </w:r>
    </w:p>
    <w:p w14:paraId="6F69EDDC" w14:textId="77777777" w:rsidR="001E7BF5" w:rsidRDefault="001E7BF5" w:rsidP="001E7BF5">
      <w:pPr>
        <w:jc w:val="center"/>
        <w:rPr>
          <w:sz w:val="24"/>
          <w:szCs w:val="24"/>
        </w:rPr>
      </w:pPr>
      <w:r w:rsidRPr="00BA10C5">
        <w:rPr>
          <w:sz w:val="24"/>
          <w:szCs w:val="24"/>
        </w:rPr>
        <w:t>DOE Office of Nuclear Physics</w:t>
      </w:r>
      <w:r>
        <w:rPr>
          <w:sz w:val="24"/>
          <w:szCs w:val="24"/>
        </w:rPr>
        <w:t xml:space="preserve"> (NP)</w:t>
      </w:r>
    </w:p>
    <w:p w14:paraId="4DD6FD31" w14:textId="77777777" w:rsidR="001E7BF5" w:rsidRPr="00BA10C5" w:rsidRDefault="001E7BF5" w:rsidP="001E7BF5">
      <w:pPr>
        <w:jc w:val="center"/>
        <w:rPr>
          <w:rFonts w:ascii="Calibri" w:hAnsi="Calibri"/>
          <w:sz w:val="28"/>
          <w:szCs w:val="28"/>
        </w:rPr>
      </w:pPr>
      <w:r>
        <w:rPr>
          <w:sz w:val="24"/>
          <w:szCs w:val="24"/>
        </w:rPr>
        <w:t>Facilities and Project Management Division</w:t>
      </w:r>
    </w:p>
    <w:p w14:paraId="4BBC2CC6" w14:textId="77777777" w:rsidR="001E7BF5" w:rsidRDefault="001E7BF5" w:rsidP="001E7BF5">
      <w:pPr>
        <w:rPr>
          <w:sz w:val="24"/>
          <w:szCs w:val="24"/>
          <w:u w:val="single"/>
        </w:rPr>
      </w:pPr>
    </w:p>
    <w:p w14:paraId="0D0E77F5" w14:textId="77777777" w:rsidR="001E7BF5" w:rsidRDefault="001E7BF5" w:rsidP="001E7BF5">
      <w:pPr>
        <w:rPr>
          <w:sz w:val="24"/>
          <w:szCs w:val="24"/>
          <w:u w:val="single"/>
        </w:rPr>
      </w:pPr>
    </w:p>
    <w:p w14:paraId="7F1CA52D" w14:textId="77777777" w:rsidR="001E7BF5" w:rsidRPr="00167A61" w:rsidRDefault="001E7BF5" w:rsidP="001E7BF5">
      <w:pPr>
        <w:rPr>
          <w:b/>
          <w:i/>
          <w:color w:val="0000FF"/>
          <w:sz w:val="24"/>
          <w:szCs w:val="24"/>
        </w:rPr>
      </w:pPr>
      <w:r w:rsidRPr="00851F8D">
        <w:rPr>
          <w:b/>
          <w:sz w:val="24"/>
          <w:szCs w:val="24"/>
          <w:u w:val="single"/>
        </w:rPr>
        <w:t xml:space="preserve">Proposal </w:t>
      </w:r>
      <w:r w:rsidRPr="00167A61">
        <w:rPr>
          <w:b/>
          <w:sz w:val="24"/>
          <w:szCs w:val="24"/>
          <w:u w:val="single"/>
        </w:rPr>
        <w:t>Name:</w:t>
      </w:r>
      <w:r w:rsidRPr="00167A61">
        <w:rPr>
          <w:b/>
          <w:sz w:val="24"/>
          <w:szCs w:val="24"/>
        </w:rPr>
        <w:tab/>
      </w:r>
      <w:r w:rsidRPr="00167A61">
        <w:rPr>
          <w:b/>
          <w:sz w:val="24"/>
          <w:szCs w:val="24"/>
        </w:rPr>
        <w:tab/>
      </w:r>
      <w:r w:rsidRPr="00167A61">
        <w:rPr>
          <w:b/>
          <w:sz w:val="24"/>
          <w:szCs w:val="24"/>
        </w:rPr>
        <w:tab/>
      </w:r>
      <w:r w:rsidRPr="00167A61">
        <w:rPr>
          <w:b/>
          <w:sz w:val="24"/>
          <w:szCs w:val="24"/>
        </w:rPr>
        <w:tab/>
      </w:r>
      <w:r w:rsidRPr="00167A61">
        <w:rPr>
          <w:b/>
          <w:sz w:val="24"/>
          <w:szCs w:val="24"/>
        </w:rPr>
        <w:tab/>
      </w:r>
      <w:r w:rsidRPr="00167A61">
        <w:rPr>
          <w:b/>
          <w:sz w:val="24"/>
          <w:szCs w:val="24"/>
        </w:rPr>
        <w:tab/>
      </w:r>
      <w:r w:rsidRPr="00167A61">
        <w:rPr>
          <w:b/>
          <w:sz w:val="24"/>
          <w:szCs w:val="24"/>
        </w:rPr>
        <w:tab/>
      </w:r>
      <w:r w:rsidRPr="00167A61">
        <w:rPr>
          <w:b/>
          <w:i/>
          <w:color w:val="0000FF"/>
          <w:sz w:val="24"/>
          <w:szCs w:val="24"/>
        </w:rPr>
        <w:t xml:space="preserve"> </w:t>
      </w:r>
    </w:p>
    <w:p w14:paraId="759EF084" w14:textId="2B408BEC" w:rsidR="00161D3A" w:rsidRPr="0039417E" w:rsidRDefault="0039417E" w:rsidP="001E7BF5">
      <w:pPr>
        <w:rPr>
          <w:bCs/>
          <w:sz w:val="24"/>
          <w:szCs w:val="24"/>
        </w:rPr>
      </w:pPr>
      <w:r w:rsidRPr="0039417E">
        <w:rPr>
          <w:bCs/>
          <w:sz w:val="24"/>
          <w:szCs w:val="24"/>
        </w:rPr>
        <w:t>Superconducting RF electron gun</w:t>
      </w:r>
    </w:p>
    <w:p w14:paraId="66449EE5" w14:textId="77777777" w:rsidR="0039417E" w:rsidRDefault="0039417E" w:rsidP="001E7BF5">
      <w:pPr>
        <w:rPr>
          <w:sz w:val="24"/>
          <w:szCs w:val="24"/>
          <w:u w:val="single"/>
        </w:rPr>
      </w:pPr>
    </w:p>
    <w:p w14:paraId="4E3A0DEF" w14:textId="77777777" w:rsidR="001E7BF5" w:rsidRDefault="001E7BF5" w:rsidP="001E7BF5">
      <w:pPr>
        <w:rPr>
          <w:b/>
          <w:sz w:val="24"/>
          <w:szCs w:val="24"/>
          <w:u w:val="single"/>
        </w:rPr>
      </w:pPr>
      <w:r w:rsidRPr="5E6B16E1">
        <w:rPr>
          <w:b/>
          <w:bCs/>
          <w:sz w:val="24"/>
          <w:szCs w:val="24"/>
          <w:u w:val="single"/>
        </w:rPr>
        <w:t>Report Date:</w:t>
      </w:r>
    </w:p>
    <w:p w14:paraId="0EAC98D8" w14:textId="5EBB0D01" w:rsidR="7F302D86" w:rsidRDefault="7F302D86" w:rsidP="1267F11B">
      <w:pPr>
        <w:spacing w:line="259" w:lineRule="auto"/>
        <w:rPr>
          <w:sz w:val="24"/>
          <w:szCs w:val="24"/>
        </w:rPr>
      </w:pPr>
      <w:r w:rsidRPr="1267F11B">
        <w:rPr>
          <w:sz w:val="24"/>
          <w:szCs w:val="24"/>
        </w:rPr>
        <w:t xml:space="preserve">January </w:t>
      </w:r>
      <w:r w:rsidR="1E5119B7" w:rsidRPr="1267F11B">
        <w:rPr>
          <w:sz w:val="24"/>
          <w:szCs w:val="24"/>
        </w:rPr>
        <w:t>2</w:t>
      </w:r>
      <w:r w:rsidR="007420D0">
        <w:rPr>
          <w:sz w:val="24"/>
          <w:szCs w:val="24"/>
        </w:rPr>
        <w:t>7</w:t>
      </w:r>
      <w:r w:rsidRPr="1267F11B">
        <w:rPr>
          <w:sz w:val="24"/>
          <w:szCs w:val="24"/>
        </w:rPr>
        <w:t>, 2021</w:t>
      </w:r>
    </w:p>
    <w:p w14:paraId="2E06D066" w14:textId="77777777" w:rsidR="004F3E8B" w:rsidRDefault="004F3E8B" w:rsidP="001E7BF5">
      <w:pPr>
        <w:rPr>
          <w:sz w:val="24"/>
          <w:szCs w:val="24"/>
        </w:rPr>
      </w:pPr>
    </w:p>
    <w:p w14:paraId="5675A328" w14:textId="77777777" w:rsidR="004F3E8B" w:rsidRDefault="004F3E8B" w:rsidP="001E7BF5">
      <w:pPr>
        <w:rPr>
          <w:b/>
          <w:sz w:val="24"/>
          <w:szCs w:val="24"/>
          <w:u w:val="single"/>
        </w:rPr>
      </w:pPr>
      <w:r w:rsidRPr="004F3E8B">
        <w:rPr>
          <w:b/>
          <w:sz w:val="24"/>
          <w:szCs w:val="24"/>
          <w:u w:val="single"/>
        </w:rPr>
        <w:t>Report Period of Performance</w:t>
      </w:r>
      <w:r>
        <w:rPr>
          <w:b/>
          <w:sz w:val="24"/>
          <w:szCs w:val="24"/>
          <w:u w:val="single"/>
        </w:rPr>
        <w:t>:</w:t>
      </w:r>
    </w:p>
    <w:p w14:paraId="7A012805" w14:textId="22A94307" w:rsidR="004F3E8B" w:rsidRPr="004F3E8B" w:rsidRDefault="380D9BDA" w:rsidP="001E7BF5">
      <w:pPr>
        <w:rPr>
          <w:sz w:val="24"/>
          <w:szCs w:val="24"/>
        </w:rPr>
      </w:pPr>
      <w:r w:rsidRPr="5E6B16E1">
        <w:rPr>
          <w:sz w:val="24"/>
          <w:szCs w:val="24"/>
        </w:rPr>
        <w:t>10</w:t>
      </w:r>
      <w:r w:rsidR="004F3E8B" w:rsidRPr="5E6B16E1">
        <w:rPr>
          <w:sz w:val="24"/>
          <w:szCs w:val="24"/>
        </w:rPr>
        <w:t>/1/20</w:t>
      </w:r>
      <w:r w:rsidR="79765B50" w:rsidRPr="5E6B16E1">
        <w:rPr>
          <w:sz w:val="24"/>
          <w:szCs w:val="24"/>
        </w:rPr>
        <w:t>20</w:t>
      </w:r>
      <w:r w:rsidR="004F3E8B" w:rsidRPr="5E6B16E1">
        <w:rPr>
          <w:sz w:val="24"/>
          <w:szCs w:val="24"/>
        </w:rPr>
        <w:t xml:space="preserve"> –</w:t>
      </w:r>
      <w:r w:rsidR="289160FD" w:rsidRPr="5E6B16E1">
        <w:rPr>
          <w:sz w:val="24"/>
          <w:szCs w:val="24"/>
        </w:rPr>
        <w:t>12</w:t>
      </w:r>
      <w:r w:rsidR="004F3E8B" w:rsidRPr="5E6B16E1">
        <w:rPr>
          <w:sz w:val="24"/>
          <w:szCs w:val="24"/>
        </w:rPr>
        <w:t>/3</w:t>
      </w:r>
      <w:r w:rsidR="20FB679F" w:rsidRPr="5E6B16E1">
        <w:rPr>
          <w:sz w:val="24"/>
          <w:szCs w:val="24"/>
        </w:rPr>
        <w:t>1</w:t>
      </w:r>
      <w:r w:rsidR="004F3E8B" w:rsidRPr="5E6B16E1">
        <w:rPr>
          <w:sz w:val="24"/>
          <w:szCs w:val="24"/>
        </w:rPr>
        <w:t>/20</w:t>
      </w:r>
      <w:r w:rsidR="09E1EB4A" w:rsidRPr="5E6B16E1">
        <w:rPr>
          <w:sz w:val="24"/>
          <w:szCs w:val="24"/>
        </w:rPr>
        <w:t>20</w:t>
      </w:r>
    </w:p>
    <w:p w14:paraId="196936A3" w14:textId="77777777" w:rsidR="001E7BF5" w:rsidRPr="001E7BF5" w:rsidRDefault="001E7BF5" w:rsidP="001E7BF5">
      <w:pPr>
        <w:rPr>
          <w:sz w:val="24"/>
          <w:szCs w:val="24"/>
        </w:rPr>
      </w:pPr>
    </w:p>
    <w:p w14:paraId="7461D790" w14:textId="25B4C815" w:rsidR="001E7BF5" w:rsidRDefault="0039417E" w:rsidP="001E7B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Co-</w:t>
      </w:r>
      <w:r w:rsidR="001E7BF5" w:rsidRPr="00167A61">
        <w:rPr>
          <w:b/>
          <w:sz w:val="24"/>
          <w:szCs w:val="24"/>
          <w:u w:val="single"/>
        </w:rPr>
        <w:t>Principal Investigator:</w:t>
      </w:r>
    </w:p>
    <w:p w14:paraId="1EBC46B3" w14:textId="07F935B5" w:rsidR="004F3E8B" w:rsidRPr="007420D0" w:rsidRDefault="0039417E" w:rsidP="001E7BF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Matt </w:t>
      </w:r>
      <w:proofErr w:type="spellStart"/>
      <w:r>
        <w:rPr>
          <w:sz w:val="24"/>
          <w:szCs w:val="24"/>
          <w:lang w:val="es-ES"/>
        </w:rPr>
        <w:t>Poelker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Joe Grames and Riad Suleiman</w:t>
      </w:r>
    </w:p>
    <w:p w14:paraId="37F1001E" w14:textId="77777777" w:rsidR="001E7BF5" w:rsidRPr="007420D0" w:rsidRDefault="001E7BF5" w:rsidP="001E7BF5">
      <w:pPr>
        <w:rPr>
          <w:sz w:val="24"/>
          <w:szCs w:val="24"/>
          <w:lang w:val="es-ES"/>
        </w:rPr>
      </w:pPr>
    </w:p>
    <w:p w14:paraId="339E567E" w14:textId="15C13A02" w:rsidR="001E7BF5" w:rsidRDefault="001E7BF5" w:rsidP="001E7B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Work-scope H</w:t>
      </w:r>
      <w:r w:rsidRPr="00167A61">
        <w:rPr>
          <w:b/>
          <w:sz w:val="24"/>
          <w:szCs w:val="24"/>
          <w:u w:val="single"/>
        </w:rPr>
        <w:t>ighlights:</w:t>
      </w:r>
    </w:p>
    <w:p w14:paraId="71222F1B" w14:textId="66626963" w:rsidR="000E42B3" w:rsidRPr="00480D42" w:rsidRDefault="0039417E" w:rsidP="008F0BBB">
      <w:pPr>
        <w:jc w:val="both"/>
        <w:rPr>
          <w:sz w:val="24"/>
          <w:szCs w:val="24"/>
        </w:rPr>
      </w:pPr>
      <w:r>
        <w:rPr>
          <w:sz w:val="24"/>
          <w:szCs w:val="24"/>
        </w:rPr>
        <w:t>Jefferson Lab’s contribution to this project is to provide a Compton Transmission Polarimeter, which will be used to measure beam polarization when the SRF photogun employs a GaAs photocathode.</w:t>
      </w:r>
    </w:p>
    <w:p w14:paraId="30DB2144" w14:textId="6197EC91" w:rsidR="00480D42" w:rsidRPr="00480D42" w:rsidRDefault="00480D42" w:rsidP="001E7BF5">
      <w:pPr>
        <w:rPr>
          <w:sz w:val="24"/>
          <w:szCs w:val="24"/>
        </w:rPr>
      </w:pPr>
    </w:p>
    <w:p w14:paraId="756B734E" w14:textId="77777777" w:rsidR="00F334AE" w:rsidRPr="00F334AE" w:rsidRDefault="00F334AE" w:rsidP="001E7BF5">
      <w:pPr>
        <w:rPr>
          <w:sz w:val="24"/>
          <w:szCs w:val="24"/>
        </w:rPr>
      </w:pPr>
    </w:p>
    <w:p w14:paraId="053E2613" w14:textId="745EBF57" w:rsidR="007B5EC0" w:rsidRDefault="00CC10EE" w:rsidP="001E7B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Q1 FY21 </w:t>
      </w:r>
      <w:r w:rsidR="001E7BF5" w:rsidRPr="009F047A">
        <w:rPr>
          <w:b/>
          <w:sz w:val="24"/>
          <w:szCs w:val="24"/>
          <w:u w:val="single"/>
        </w:rPr>
        <w:t>Brief summary of activity issues, concerns, successes:</w:t>
      </w:r>
    </w:p>
    <w:p w14:paraId="09A9327E" w14:textId="0A5F2E25" w:rsidR="008E12AA" w:rsidRPr="008E12AA" w:rsidRDefault="008E12AA" w:rsidP="001E7BF5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Activity successes</w:t>
      </w:r>
    </w:p>
    <w:p w14:paraId="290B722E" w14:textId="1C54D171" w:rsidR="00041800" w:rsidRPr="00041800" w:rsidRDefault="00041800" w:rsidP="00041800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41800">
        <w:rPr>
          <w:color w:val="000000"/>
          <w:sz w:val="24"/>
          <w:szCs w:val="24"/>
        </w:rPr>
        <w:t xml:space="preserve">Working with Jefferson Lab Fast Electronics Group to design Data Acquisition System (DAQ) based on expected electron beam characteristics at BNL </w:t>
      </w:r>
      <w:proofErr w:type="spellStart"/>
      <w:r w:rsidRPr="00041800">
        <w:rPr>
          <w:color w:val="000000"/>
          <w:sz w:val="24"/>
          <w:szCs w:val="24"/>
        </w:rPr>
        <w:t>CeC</w:t>
      </w:r>
      <w:proofErr w:type="spellEnd"/>
      <w:r w:rsidRPr="0004180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14:paraId="37280BDA" w14:textId="28B8E9FD" w:rsidR="00041800" w:rsidRPr="00041800" w:rsidRDefault="00041800" w:rsidP="00041800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41800">
        <w:rPr>
          <w:color w:val="000000"/>
          <w:sz w:val="24"/>
          <w:szCs w:val="24"/>
        </w:rPr>
        <w:t>Exploring the synchronization required between laser beam, Pockels Cell, Helicity Control Board and DAQ. Considering modifications to the Helicity Control Board that Jefferson Lab will provide.</w:t>
      </w:r>
    </w:p>
    <w:p w14:paraId="7A1EC98B" w14:textId="157E13B5" w:rsidR="00041800" w:rsidRPr="00041800" w:rsidRDefault="00041800" w:rsidP="00041800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041800">
        <w:rPr>
          <w:color w:val="000000"/>
          <w:sz w:val="24"/>
          <w:szCs w:val="24"/>
        </w:rPr>
        <w:t xml:space="preserve">Student </w:t>
      </w:r>
      <w:r w:rsidRPr="00041800">
        <w:rPr>
          <w:sz w:val="24"/>
          <w:szCs w:val="24"/>
        </w:rPr>
        <w:t xml:space="preserve">Benjamin Fernandes </w:t>
      </w:r>
      <w:proofErr w:type="spellStart"/>
      <w:r w:rsidRPr="00041800">
        <w:rPr>
          <w:sz w:val="24"/>
          <w:szCs w:val="24"/>
        </w:rPr>
        <w:t>Neres</w:t>
      </w:r>
      <w:proofErr w:type="spellEnd"/>
      <w:r w:rsidRPr="00041800">
        <w:rPr>
          <w:sz w:val="24"/>
          <w:szCs w:val="24"/>
        </w:rPr>
        <w:t xml:space="preserve"> was identified as the GEANT</w:t>
      </w:r>
      <w:r w:rsidR="008525BD">
        <w:rPr>
          <w:sz w:val="24"/>
          <w:szCs w:val="24"/>
        </w:rPr>
        <w:t>4</w:t>
      </w:r>
      <w:r w:rsidRPr="00041800">
        <w:rPr>
          <w:sz w:val="24"/>
          <w:szCs w:val="24"/>
        </w:rPr>
        <w:t xml:space="preserve"> modeler of this polarimeter.  He will</w:t>
      </w:r>
      <w:r w:rsidRPr="00041800">
        <w:rPr>
          <w:color w:val="000000"/>
          <w:sz w:val="24"/>
          <w:szCs w:val="24"/>
        </w:rPr>
        <w:t xml:space="preserve"> work 3 months in France and then come to JLab for 1 month to wrap up the design aspects project.  JLab will pay room and per diem using funds from this FOA. Benjamin will "own" building a model of target/magnet/detector/shielding in G</w:t>
      </w:r>
      <w:r w:rsidR="008525BD">
        <w:rPr>
          <w:color w:val="000000"/>
          <w:sz w:val="24"/>
          <w:szCs w:val="24"/>
        </w:rPr>
        <w:t>EANT</w:t>
      </w:r>
      <w:r w:rsidRPr="00041800">
        <w:rPr>
          <w:color w:val="000000"/>
          <w:sz w:val="24"/>
          <w:szCs w:val="24"/>
        </w:rPr>
        <w:t>4 and then he will simulate expected conditions to finalize a design.</w:t>
      </w:r>
    </w:p>
    <w:p w14:paraId="58E9DC16" w14:textId="77777777" w:rsidR="00041800" w:rsidRPr="00041800" w:rsidRDefault="00041800" w:rsidP="00041800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3E352D15" w14:textId="2A22BC41" w:rsidR="0056567F" w:rsidRDefault="008E12AA" w:rsidP="0056567F">
      <w:pPr>
        <w:rPr>
          <w:i/>
          <w:sz w:val="24"/>
          <w:szCs w:val="24"/>
        </w:rPr>
      </w:pPr>
      <w:r>
        <w:rPr>
          <w:i/>
          <w:sz w:val="24"/>
          <w:szCs w:val="24"/>
        </w:rPr>
        <w:t>Issues and concerns</w:t>
      </w:r>
    </w:p>
    <w:p w14:paraId="708646AE" w14:textId="3BD52289" w:rsidR="00CC10EE" w:rsidRPr="00A93318" w:rsidRDefault="00A93318" w:rsidP="00A933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3318">
        <w:rPr>
          <w:sz w:val="24"/>
          <w:szCs w:val="24"/>
        </w:rPr>
        <w:t xml:space="preserve">Since the beam is </w:t>
      </w:r>
      <w:r>
        <w:rPr>
          <w:sz w:val="24"/>
          <w:szCs w:val="24"/>
        </w:rPr>
        <w:t>macro-</w:t>
      </w:r>
      <w:r w:rsidRPr="00A93318">
        <w:rPr>
          <w:sz w:val="24"/>
          <w:szCs w:val="24"/>
        </w:rPr>
        <w:t xml:space="preserve">pulsed, we need to worry about the relative timing of the laser beam and the Pockels cell switching. Maybe all </w:t>
      </w:r>
      <w:r w:rsidR="00D1512D">
        <w:rPr>
          <w:sz w:val="24"/>
          <w:szCs w:val="24"/>
        </w:rPr>
        <w:t xml:space="preserve">devices </w:t>
      </w:r>
      <w:r w:rsidRPr="00A93318">
        <w:rPr>
          <w:sz w:val="24"/>
          <w:szCs w:val="24"/>
        </w:rPr>
        <w:t>(Pockels cell, helicity board and DAQ</w:t>
      </w:r>
      <w:r>
        <w:rPr>
          <w:sz w:val="24"/>
          <w:szCs w:val="24"/>
        </w:rPr>
        <w:t>)</w:t>
      </w:r>
      <w:r w:rsidRPr="00A93318">
        <w:rPr>
          <w:sz w:val="24"/>
          <w:szCs w:val="24"/>
        </w:rPr>
        <w:t xml:space="preserve"> will be trigg</w:t>
      </w:r>
      <w:r w:rsidR="00D1512D">
        <w:rPr>
          <w:sz w:val="24"/>
          <w:szCs w:val="24"/>
        </w:rPr>
        <w:t>ered by the laser-</w:t>
      </w:r>
      <w:r>
        <w:rPr>
          <w:sz w:val="24"/>
          <w:szCs w:val="24"/>
        </w:rPr>
        <w:t>timing signal?</w:t>
      </w:r>
      <w:r w:rsidR="008525BD">
        <w:rPr>
          <w:sz w:val="24"/>
          <w:szCs w:val="24"/>
        </w:rPr>
        <w:t xml:space="preserve"> </w:t>
      </w:r>
      <w:r w:rsidR="00297050">
        <w:rPr>
          <w:sz w:val="24"/>
          <w:szCs w:val="24"/>
        </w:rPr>
        <w:t xml:space="preserve"> </w:t>
      </w:r>
      <w:r w:rsidR="008525BD">
        <w:rPr>
          <w:sz w:val="24"/>
          <w:szCs w:val="24"/>
        </w:rPr>
        <w:t xml:space="preserve">By this we mean, we </w:t>
      </w:r>
      <w:r w:rsidR="00297050">
        <w:rPr>
          <w:sz w:val="24"/>
          <w:szCs w:val="24"/>
        </w:rPr>
        <w:t>can’t simply use</w:t>
      </w:r>
      <w:r w:rsidR="008525BD">
        <w:rPr>
          <w:sz w:val="24"/>
          <w:szCs w:val="24"/>
        </w:rPr>
        <w:t xml:space="preserve"> CEBAF hardware</w:t>
      </w:r>
      <w:r w:rsidR="00D1512D">
        <w:rPr>
          <w:sz w:val="24"/>
          <w:szCs w:val="24"/>
        </w:rPr>
        <w:t>, so we are thinking it through</w:t>
      </w:r>
    </w:p>
    <w:p w14:paraId="4289CB83" w14:textId="77777777" w:rsidR="00F334AE" w:rsidRDefault="00F334AE" w:rsidP="001E7BF5">
      <w:pPr>
        <w:rPr>
          <w:sz w:val="24"/>
          <w:szCs w:val="24"/>
        </w:rPr>
      </w:pPr>
    </w:p>
    <w:p w14:paraId="2825BE12" w14:textId="77777777" w:rsidR="001E7BF5" w:rsidRPr="00442FF0" w:rsidRDefault="001E7BF5" w:rsidP="001E7BF5">
      <w:pPr>
        <w:rPr>
          <w:b/>
          <w:sz w:val="24"/>
          <w:szCs w:val="24"/>
          <w:u w:val="single"/>
        </w:rPr>
      </w:pPr>
      <w:r w:rsidRPr="00442FF0">
        <w:rPr>
          <w:b/>
          <w:sz w:val="24"/>
          <w:szCs w:val="24"/>
          <w:u w:val="single"/>
        </w:rPr>
        <w:t>Milestones</w:t>
      </w:r>
    </w:p>
    <w:p w14:paraId="3D8F1EC9" w14:textId="66B44ED8" w:rsidR="0FFFA080" w:rsidRDefault="00041800" w:rsidP="0FFFA080">
      <w:pPr>
        <w:rPr>
          <w:sz w:val="24"/>
          <w:szCs w:val="24"/>
        </w:rPr>
      </w:pPr>
      <w:r>
        <w:rPr>
          <w:sz w:val="24"/>
          <w:szCs w:val="24"/>
        </w:rPr>
        <w:t>Identified the student to perform GEANT</w:t>
      </w:r>
      <w:r w:rsidR="00297050">
        <w:rPr>
          <w:sz w:val="24"/>
          <w:szCs w:val="24"/>
        </w:rPr>
        <w:t>4</w:t>
      </w:r>
      <w:r>
        <w:rPr>
          <w:sz w:val="24"/>
          <w:szCs w:val="24"/>
        </w:rPr>
        <w:t xml:space="preserve"> modeling</w:t>
      </w:r>
    </w:p>
    <w:p w14:paraId="564DC277" w14:textId="77777777" w:rsidR="00041800" w:rsidRDefault="00041800" w:rsidP="0FFFA080"/>
    <w:p w14:paraId="5AA76ED4" w14:textId="77777777" w:rsidR="00893241" w:rsidRPr="00220A29" w:rsidRDefault="00893241" w:rsidP="00893241">
      <w:pPr>
        <w:rPr>
          <w:b/>
          <w:sz w:val="24"/>
          <w:szCs w:val="24"/>
          <w:u w:val="single"/>
        </w:rPr>
      </w:pPr>
      <w:r w:rsidRPr="00442FF0">
        <w:rPr>
          <w:b/>
          <w:sz w:val="24"/>
          <w:szCs w:val="24"/>
          <w:u w:val="single"/>
        </w:rPr>
        <w:lastRenderedPageBreak/>
        <w:t>Budget</w:t>
      </w:r>
    </w:p>
    <w:p w14:paraId="6453A689" w14:textId="77777777" w:rsidR="00893241" w:rsidRDefault="00893241" w:rsidP="00893241">
      <w:pPr>
        <w:rPr>
          <w:sz w:val="24"/>
          <w:szCs w:val="24"/>
          <w:u w:val="single"/>
        </w:rPr>
      </w:pPr>
    </w:p>
    <w:p w14:paraId="7828C8B5" w14:textId="77777777" w:rsidR="00893241" w:rsidRPr="006C7E5C" w:rsidRDefault="00893241" w:rsidP="00893241">
      <w:pPr>
        <w:rPr>
          <w:sz w:val="24"/>
          <w:szCs w:val="24"/>
        </w:rPr>
      </w:pPr>
      <w:r w:rsidRPr="006C7E5C">
        <w:rPr>
          <w:sz w:val="24"/>
          <w:szCs w:val="24"/>
          <w:u w:val="single"/>
        </w:rPr>
        <w:t xml:space="preserve">Summary of </w:t>
      </w:r>
      <w:r>
        <w:rPr>
          <w:sz w:val="24"/>
          <w:szCs w:val="24"/>
          <w:u w:val="single"/>
        </w:rPr>
        <w:t xml:space="preserve">total </w:t>
      </w:r>
      <w:r w:rsidRPr="006C7E5C">
        <w:rPr>
          <w:sz w:val="24"/>
          <w:szCs w:val="24"/>
          <w:u w:val="single"/>
        </w:rPr>
        <w:t>expenditures:</w:t>
      </w:r>
    </w:p>
    <w:p w14:paraId="4FA8BA05" w14:textId="77777777" w:rsidR="00893241" w:rsidRPr="00EC7BE5" w:rsidRDefault="00893241" w:rsidP="00893241">
      <w:pPr>
        <w:jc w:val="center"/>
        <w:rPr>
          <w:b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893241" w:rsidRPr="0092172B" w14:paraId="1DF591D0" w14:textId="77777777" w:rsidTr="00A3013F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52BCF" w14:textId="77777777" w:rsidR="00893241" w:rsidRPr="005B68EA" w:rsidRDefault="00893241" w:rsidP="00A3013F">
            <w:pPr>
              <w:jc w:val="center"/>
              <w:rPr>
                <w:sz w:val="22"/>
                <w:szCs w:val="22"/>
              </w:rPr>
            </w:pPr>
            <w:r w:rsidRPr="005B68EA">
              <w:rPr>
                <w:sz w:val="22"/>
                <w:szCs w:val="22"/>
              </w:rPr>
              <w:t> </w:t>
            </w:r>
          </w:p>
          <w:p w14:paraId="569E5D72" w14:textId="77777777" w:rsidR="00893241" w:rsidRPr="005B68EA" w:rsidRDefault="00893241" w:rsidP="00A3013F">
            <w:pPr>
              <w:jc w:val="center"/>
              <w:rPr>
                <w:sz w:val="22"/>
                <w:szCs w:val="22"/>
              </w:rPr>
            </w:pPr>
            <w:r w:rsidRPr="005B68EA">
              <w:rPr>
                <w:sz w:val="22"/>
                <w:szCs w:val="22"/>
              </w:rPr>
              <w:t>ID #</w:t>
            </w:r>
          </w:p>
          <w:p w14:paraId="1473AF90" w14:textId="77777777" w:rsidR="00893241" w:rsidRPr="005B68EA" w:rsidRDefault="00893241" w:rsidP="00A3013F">
            <w:pPr>
              <w:jc w:val="center"/>
              <w:rPr>
                <w:sz w:val="22"/>
                <w:szCs w:val="22"/>
              </w:rPr>
            </w:pPr>
            <w:r w:rsidRPr="005B68EA">
              <w:rPr>
                <w:sz w:val="22"/>
                <w:szCs w:val="22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22F64A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 </w:t>
            </w:r>
          </w:p>
          <w:p w14:paraId="194F3998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Item/Task</w:t>
            </w:r>
          </w:p>
          <w:p w14:paraId="0F61455A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5B68EA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AE4BF7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Baseline</w:t>
            </w:r>
          </w:p>
          <w:p w14:paraId="36A4F409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Total Cost</w:t>
            </w:r>
          </w:p>
          <w:p w14:paraId="7132C4AC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5B68EA">
              <w:rPr>
                <w:sz w:val="22"/>
                <w:szCs w:val="22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AFFEA8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Costed &amp;</w:t>
            </w:r>
          </w:p>
          <w:p w14:paraId="51C95CC1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Committed</w:t>
            </w:r>
          </w:p>
          <w:p w14:paraId="34F83D44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5B68EA">
              <w:rPr>
                <w:sz w:val="22"/>
                <w:szCs w:val="22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533BC9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Estimate</w:t>
            </w:r>
          </w:p>
          <w:p w14:paraId="3E295EF1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To Complete</w:t>
            </w:r>
          </w:p>
          <w:p w14:paraId="542C23FC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5B68EA">
              <w:rPr>
                <w:sz w:val="22"/>
                <w:szCs w:val="22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6D4B9F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Estimated</w:t>
            </w:r>
          </w:p>
          <w:p w14:paraId="47FADAC5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141B43">
              <w:rPr>
                <w:b/>
                <w:sz w:val="22"/>
                <w:szCs w:val="22"/>
              </w:rPr>
              <w:t>Total Cost</w:t>
            </w:r>
          </w:p>
          <w:p w14:paraId="7DA78065" w14:textId="77777777" w:rsidR="00893241" w:rsidRPr="00141B43" w:rsidRDefault="00893241" w:rsidP="00A3013F">
            <w:pPr>
              <w:jc w:val="center"/>
              <w:rPr>
                <w:b/>
                <w:sz w:val="22"/>
                <w:szCs w:val="22"/>
              </w:rPr>
            </w:pPr>
            <w:r w:rsidRPr="005B68EA">
              <w:rPr>
                <w:sz w:val="22"/>
                <w:szCs w:val="22"/>
              </w:rPr>
              <w:t>(AY$)</w:t>
            </w:r>
          </w:p>
        </w:tc>
      </w:tr>
      <w:tr w:rsidR="00893241" w:rsidRPr="0092172B" w14:paraId="1F0B0CA0" w14:textId="77777777" w:rsidTr="00A3013F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E79A6C" w14:textId="77777777" w:rsidR="00893241" w:rsidRPr="00141B1B" w:rsidRDefault="00893241" w:rsidP="00A301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COMTRA</w:t>
            </w:r>
            <w:r w:rsidRPr="00141B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1C147A" w14:textId="77777777" w:rsidR="00893241" w:rsidRPr="00141B1B" w:rsidRDefault="00893241" w:rsidP="00A301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4A4DE2" w14:textId="77777777" w:rsidR="00893241" w:rsidRPr="00141B1B" w:rsidRDefault="00893241" w:rsidP="00A3013F">
            <w:pPr>
              <w:jc w:val="center"/>
              <w:rPr>
                <w:color w:val="000000"/>
                <w:sz w:val="24"/>
                <w:szCs w:val="24"/>
              </w:rPr>
            </w:pPr>
            <w:r w:rsidRPr="00141B1B">
              <w:rPr>
                <w:color w:val="000000"/>
                <w:sz w:val="24"/>
                <w:szCs w:val="24"/>
              </w:rPr>
              <w:t>$</w:t>
            </w:r>
            <w:r>
              <w:rPr>
                <w:color w:val="000000"/>
                <w:sz w:val="24"/>
                <w:szCs w:val="24"/>
              </w:rPr>
              <w:t>200,1</w:t>
            </w:r>
            <w:r w:rsidRPr="00141B1B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9AAE78" w14:textId="77777777" w:rsidR="00893241" w:rsidRPr="00141B1B" w:rsidRDefault="00893241" w:rsidP="00A3013F">
            <w:pPr>
              <w:jc w:val="center"/>
              <w:rPr>
                <w:color w:val="000000"/>
                <w:sz w:val="24"/>
                <w:szCs w:val="24"/>
              </w:rPr>
            </w:pPr>
            <w:r w:rsidRPr="00141B1B">
              <w:rPr>
                <w:color w:val="000000"/>
                <w:sz w:val="24"/>
                <w:szCs w:val="24"/>
              </w:rPr>
              <w:t>$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41B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2411E0" w14:textId="77777777" w:rsidR="00893241" w:rsidRPr="00141B1B" w:rsidRDefault="00893241" w:rsidP="00A3013F">
            <w:pPr>
              <w:jc w:val="center"/>
              <w:rPr>
                <w:color w:val="000000"/>
                <w:sz w:val="24"/>
                <w:szCs w:val="24"/>
              </w:rPr>
            </w:pPr>
            <w:r w:rsidRPr="00141B1B">
              <w:rPr>
                <w:color w:val="000000"/>
                <w:sz w:val="24"/>
                <w:szCs w:val="24"/>
              </w:rPr>
              <w:t>$</w:t>
            </w:r>
            <w:r>
              <w:rPr>
                <w:color w:val="000000"/>
                <w:sz w:val="24"/>
                <w:szCs w:val="24"/>
              </w:rPr>
              <w:t>200,100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EA7DF" w14:textId="77777777" w:rsidR="00893241" w:rsidRPr="00141B1B" w:rsidRDefault="00893241" w:rsidP="00A3013F">
            <w:pPr>
              <w:jc w:val="center"/>
              <w:rPr>
                <w:color w:val="000000"/>
                <w:sz w:val="24"/>
                <w:szCs w:val="24"/>
              </w:rPr>
            </w:pPr>
            <w:r w:rsidRPr="00141B1B">
              <w:rPr>
                <w:color w:val="000000"/>
                <w:sz w:val="24"/>
                <w:szCs w:val="24"/>
              </w:rPr>
              <w:t>$</w:t>
            </w:r>
            <w:r>
              <w:rPr>
                <w:color w:val="000000"/>
                <w:sz w:val="24"/>
                <w:szCs w:val="24"/>
              </w:rPr>
              <w:t>200,100</w:t>
            </w:r>
            <w:r w:rsidRPr="00141B1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93241" w:rsidRPr="0092172B" w14:paraId="2F7242EB" w14:textId="77777777" w:rsidTr="00A3013F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F01E49" w14:textId="77777777" w:rsidR="00893241" w:rsidRPr="00141B1B" w:rsidRDefault="00893241" w:rsidP="00A301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C686EC" w14:textId="77777777" w:rsidR="00893241" w:rsidRPr="00141B1B" w:rsidRDefault="00893241" w:rsidP="00A3013F">
            <w:pPr>
              <w:jc w:val="right"/>
              <w:rPr>
                <w:sz w:val="24"/>
                <w:szCs w:val="24"/>
              </w:rPr>
            </w:pPr>
            <w:r w:rsidRPr="00141B1B">
              <w:rPr>
                <w:sz w:val="24"/>
                <w:szCs w:val="24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2F29C" w14:textId="77777777" w:rsidR="00893241" w:rsidRPr="00141B1B" w:rsidRDefault="00893241" w:rsidP="00A301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B1B">
              <w:rPr>
                <w:b/>
                <w:color w:val="000000"/>
                <w:sz w:val="24"/>
                <w:szCs w:val="24"/>
              </w:rPr>
              <w:t>$</w:t>
            </w:r>
            <w:r>
              <w:rPr>
                <w:b/>
                <w:color w:val="000000"/>
                <w:sz w:val="24"/>
                <w:szCs w:val="24"/>
              </w:rPr>
              <w:t>200,100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923393" w14:textId="77777777" w:rsidR="00893241" w:rsidRPr="00141B1B" w:rsidRDefault="00893241" w:rsidP="00A301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B1B">
              <w:rPr>
                <w:b/>
                <w:color w:val="000000"/>
                <w:sz w:val="24"/>
                <w:szCs w:val="24"/>
              </w:rPr>
              <w:t>$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14D45" w14:textId="77777777" w:rsidR="00893241" w:rsidRPr="00141B1B" w:rsidRDefault="00893241" w:rsidP="00A301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B1B">
              <w:rPr>
                <w:b/>
                <w:color w:val="000000"/>
                <w:sz w:val="24"/>
                <w:szCs w:val="24"/>
              </w:rPr>
              <w:t>$</w:t>
            </w:r>
            <w:r>
              <w:rPr>
                <w:b/>
                <w:color w:val="000000"/>
                <w:sz w:val="24"/>
                <w:szCs w:val="24"/>
              </w:rPr>
              <w:t>200,100</w:t>
            </w:r>
          </w:p>
        </w:tc>
        <w:tc>
          <w:tcPr>
            <w:tcW w:w="1283" w:type="dxa"/>
            <w:vAlign w:val="center"/>
          </w:tcPr>
          <w:p w14:paraId="528E12C0" w14:textId="77777777" w:rsidR="00893241" w:rsidRPr="00141B1B" w:rsidRDefault="00893241" w:rsidP="00A301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$200,1</w:t>
            </w:r>
            <w:r w:rsidRPr="00141B1B">
              <w:rPr>
                <w:b/>
                <w:color w:val="000000"/>
                <w:sz w:val="24"/>
                <w:szCs w:val="24"/>
              </w:rPr>
              <w:t xml:space="preserve">00 </w:t>
            </w:r>
          </w:p>
        </w:tc>
      </w:tr>
    </w:tbl>
    <w:p w14:paraId="4D7DEBD1" w14:textId="77777777" w:rsidR="00893241" w:rsidRPr="00A57A4C" w:rsidRDefault="00893241" w:rsidP="00893241">
      <w:pPr>
        <w:pStyle w:val="ListParagraph"/>
        <w:spacing w:before="120" w:after="120"/>
        <w:rPr>
          <w:i/>
          <w:u w:val="single"/>
        </w:rPr>
      </w:pPr>
      <w:r w:rsidRPr="00A57A4C">
        <w:rPr>
          <w:i/>
          <w:u w:val="single"/>
        </w:rPr>
        <w:t>Notes</w:t>
      </w:r>
      <w:r>
        <w:rPr>
          <w:i/>
          <w:u w:val="single"/>
        </w:rPr>
        <w:t>:</w:t>
      </w:r>
    </w:p>
    <w:p w14:paraId="72CC7E79" w14:textId="77777777" w:rsidR="00893241" w:rsidRPr="009C4523" w:rsidRDefault="00893241" w:rsidP="00893241">
      <w:pPr>
        <w:pStyle w:val="ListParagraph"/>
        <w:numPr>
          <w:ilvl w:val="0"/>
          <w:numId w:val="4"/>
        </w:numPr>
        <w:spacing w:before="120" w:after="120"/>
        <w:rPr>
          <w:i/>
        </w:rPr>
      </w:pPr>
      <w:r w:rsidRPr="0006583C">
        <w:rPr>
          <w:i/>
        </w:rPr>
        <w:t xml:space="preserve">Costed and Committed </w:t>
      </w:r>
      <w:r>
        <w:rPr>
          <w:i/>
        </w:rPr>
        <w:t xml:space="preserve">numbers </w:t>
      </w:r>
      <w:r w:rsidRPr="0006583C">
        <w:rPr>
          <w:i/>
        </w:rPr>
        <w:t xml:space="preserve">are as of </w:t>
      </w:r>
      <w:r>
        <w:rPr>
          <w:i/>
        </w:rPr>
        <w:t>December 31</w:t>
      </w:r>
      <w:r>
        <w:rPr>
          <w:i/>
          <w:vertAlign w:val="superscript"/>
        </w:rPr>
        <w:t>st</w:t>
      </w:r>
      <w:r>
        <w:rPr>
          <w:i/>
        </w:rPr>
        <w:t>, 2020</w:t>
      </w:r>
      <w:r w:rsidRPr="0006583C">
        <w:rPr>
          <w:i/>
        </w:rPr>
        <w:t>.</w:t>
      </w:r>
    </w:p>
    <w:p w14:paraId="2A1CE816" w14:textId="77777777" w:rsidR="00893241" w:rsidRPr="004A3C09" w:rsidRDefault="00893241" w:rsidP="00893241">
      <w:pPr>
        <w:spacing w:before="120" w:after="120"/>
        <w:rPr>
          <w:bCs/>
          <w:sz w:val="24"/>
          <w:szCs w:val="24"/>
          <w:u w:val="single"/>
        </w:rPr>
      </w:pPr>
      <w:r w:rsidRPr="004A3C09">
        <w:rPr>
          <w:bCs/>
          <w:sz w:val="24"/>
          <w:szCs w:val="24"/>
          <w:u w:val="single"/>
        </w:rPr>
        <w:t xml:space="preserve">Summary of expenditures by fiscal year (FY): </w:t>
      </w:r>
    </w:p>
    <w:p w14:paraId="32005ED9" w14:textId="77777777" w:rsidR="00893241" w:rsidRPr="0030144D" w:rsidRDefault="00893241" w:rsidP="00893241">
      <w:pPr>
        <w:spacing w:before="120" w:after="120"/>
        <w:rPr>
          <w:sz w:val="2"/>
          <w:u w:val="single"/>
        </w:rPr>
      </w:pPr>
    </w:p>
    <w:tbl>
      <w:tblPr>
        <w:tblW w:w="4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</w:tblGrid>
      <w:tr w:rsidR="00893241" w14:paraId="14EE2036" w14:textId="77777777" w:rsidTr="00A301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FEA" w14:textId="77777777" w:rsidR="00893241" w:rsidRDefault="00893241" w:rsidP="00A3013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4FFA" w14:textId="77777777" w:rsidR="00893241" w:rsidRPr="00C4517A" w:rsidRDefault="00893241" w:rsidP="00A301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517A">
              <w:rPr>
                <w:color w:val="000000" w:themeColor="text1"/>
                <w:sz w:val="24"/>
                <w:szCs w:val="24"/>
              </w:rPr>
              <w:t>FY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893241" w14:paraId="0A8DB329" w14:textId="77777777" w:rsidTr="00A301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ACC" w14:textId="77777777" w:rsidR="00893241" w:rsidRDefault="00893241" w:rsidP="00A3013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9E9" w14:textId="77777777" w:rsidR="00893241" w:rsidRPr="00C4517A" w:rsidRDefault="00893241" w:rsidP="00A301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93241" w14:paraId="5AB9AEAC" w14:textId="77777777" w:rsidTr="00A301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D241" w14:textId="77777777" w:rsidR="00893241" w:rsidRDefault="00893241" w:rsidP="00A3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07D1" w14:textId="77777777" w:rsidR="00893241" w:rsidRPr="00C4517A" w:rsidRDefault="00893241" w:rsidP="00A3013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4517A">
              <w:rPr>
                <w:color w:val="000000" w:themeColor="text1"/>
                <w:sz w:val="24"/>
                <w:szCs w:val="24"/>
              </w:rPr>
              <w:t>$</w:t>
            </w:r>
            <w:r>
              <w:rPr>
                <w:color w:val="000000" w:themeColor="text1"/>
                <w:sz w:val="24"/>
                <w:szCs w:val="24"/>
              </w:rPr>
              <w:t>200</w:t>
            </w:r>
            <w:r w:rsidRPr="00C4517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C4517A"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241" w14:paraId="21F11788" w14:textId="77777777" w:rsidTr="00A301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DCD8" w14:textId="77777777" w:rsidR="00893241" w:rsidRDefault="00893241" w:rsidP="00A3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1492" w14:textId="77777777" w:rsidR="00893241" w:rsidRPr="007D1DEE" w:rsidRDefault="00893241" w:rsidP="00A3013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D1DEE">
              <w:rPr>
                <w:color w:val="000000" w:themeColor="text1"/>
                <w:sz w:val="24"/>
                <w:szCs w:val="24"/>
              </w:rPr>
              <w:t>$</w:t>
            </w:r>
            <w:r>
              <w:rPr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893241" w14:paraId="238810B5" w14:textId="77777777" w:rsidTr="00A301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4DD" w14:textId="77777777" w:rsidR="00893241" w:rsidRDefault="00893241" w:rsidP="00A3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proofErr w:type="spellStart"/>
            <w:r>
              <w:rPr>
                <w:sz w:val="24"/>
                <w:szCs w:val="24"/>
              </w:rPr>
              <w:t>Uncosted</w:t>
            </w:r>
            <w:proofErr w:type="spellEnd"/>
            <w:r>
              <w:rPr>
                <w:sz w:val="24"/>
                <w:szCs w:val="24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E90" w14:textId="77777777" w:rsidR="00893241" w:rsidRPr="008E50E4" w:rsidRDefault="00893241" w:rsidP="00A3013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E50E4">
              <w:rPr>
                <w:color w:val="000000"/>
                <w:sz w:val="24"/>
                <w:szCs w:val="24"/>
              </w:rPr>
              <w:t xml:space="preserve">$0 </w:t>
            </w:r>
          </w:p>
        </w:tc>
      </w:tr>
      <w:tr w:rsidR="00893241" w14:paraId="3002AF09" w14:textId="77777777" w:rsidTr="00A301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B3CA" w14:textId="77777777" w:rsidR="00893241" w:rsidRDefault="00893241" w:rsidP="00A3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2387" w14:textId="77777777" w:rsidR="00893241" w:rsidRPr="007D1DEE" w:rsidRDefault="00893241" w:rsidP="00A3013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D1DEE">
              <w:rPr>
                <w:color w:val="000000" w:themeColor="text1"/>
                <w:sz w:val="24"/>
                <w:szCs w:val="24"/>
              </w:rPr>
              <w:t>$</w:t>
            </w:r>
            <w:r>
              <w:rPr>
                <w:color w:val="000000" w:themeColor="text1"/>
                <w:sz w:val="24"/>
                <w:szCs w:val="24"/>
              </w:rPr>
              <w:t xml:space="preserve">200,100 </w:t>
            </w:r>
          </w:p>
        </w:tc>
      </w:tr>
    </w:tbl>
    <w:p w14:paraId="02FFEE3E" w14:textId="046F4667" w:rsidR="1267F11B" w:rsidRDefault="1267F11B" w:rsidP="00893241">
      <w:pPr>
        <w:rPr>
          <w:sz w:val="24"/>
          <w:szCs w:val="24"/>
        </w:rPr>
      </w:pPr>
    </w:p>
    <w:sectPr w:rsidR="1267F11B" w:rsidSect="000650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ACD"/>
    <w:multiLevelType w:val="hybridMultilevel"/>
    <w:tmpl w:val="AA1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06F9"/>
    <w:multiLevelType w:val="hybridMultilevel"/>
    <w:tmpl w:val="685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009D"/>
    <w:multiLevelType w:val="hybridMultilevel"/>
    <w:tmpl w:val="518C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08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80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20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49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62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1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B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0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17AF"/>
    <w:multiLevelType w:val="multilevel"/>
    <w:tmpl w:val="B260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F0"/>
    <w:rsid w:val="00023803"/>
    <w:rsid w:val="00027223"/>
    <w:rsid w:val="000327C4"/>
    <w:rsid w:val="00035CD4"/>
    <w:rsid w:val="00041800"/>
    <w:rsid w:val="0005681B"/>
    <w:rsid w:val="00057A82"/>
    <w:rsid w:val="00060BED"/>
    <w:rsid w:val="000619B8"/>
    <w:rsid w:val="00062EAE"/>
    <w:rsid w:val="00065015"/>
    <w:rsid w:val="00065F1E"/>
    <w:rsid w:val="000674D8"/>
    <w:rsid w:val="00067707"/>
    <w:rsid w:val="00074B84"/>
    <w:rsid w:val="00080312"/>
    <w:rsid w:val="00083541"/>
    <w:rsid w:val="00087E52"/>
    <w:rsid w:val="00097016"/>
    <w:rsid w:val="000A595E"/>
    <w:rsid w:val="000A7312"/>
    <w:rsid w:val="000B0CD2"/>
    <w:rsid w:val="000B67F1"/>
    <w:rsid w:val="000C19EF"/>
    <w:rsid w:val="000C5931"/>
    <w:rsid w:val="000C5CAC"/>
    <w:rsid w:val="000C76D4"/>
    <w:rsid w:val="000D2CD1"/>
    <w:rsid w:val="000D589B"/>
    <w:rsid w:val="000D70A1"/>
    <w:rsid w:val="000E22A9"/>
    <w:rsid w:val="000E42B3"/>
    <w:rsid w:val="000F7FBE"/>
    <w:rsid w:val="001115A0"/>
    <w:rsid w:val="001303A4"/>
    <w:rsid w:val="00132671"/>
    <w:rsid w:val="00137BDD"/>
    <w:rsid w:val="00141B43"/>
    <w:rsid w:val="00142691"/>
    <w:rsid w:val="00145554"/>
    <w:rsid w:val="00145FD9"/>
    <w:rsid w:val="0015278D"/>
    <w:rsid w:val="00152FDD"/>
    <w:rsid w:val="00161D3A"/>
    <w:rsid w:val="00162EA2"/>
    <w:rsid w:val="0016591D"/>
    <w:rsid w:val="0016619E"/>
    <w:rsid w:val="00167A61"/>
    <w:rsid w:val="00173B37"/>
    <w:rsid w:val="001A0F09"/>
    <w:rsid w:val="001A4364"/>
    <w:rsid w:val="001A58A1"/>
    <w:rsid w:val="001B74A2"/>
    <w:rsid w:val="001C1CBD"/>
    <w:rsid w:val="001E7BF5"/>
    <w:rsid w:val="001F224D"/>
    <w:rsid w:val="001F24CE"/>
    <w:rsid w:val="001F3F42"/>
    <w:rsid w:val="001F4A81"/>
    <w:rsid w:val="00201E73"/>
    <w:rsid w:val="0021153C"/>
    <w:rsid w:val="00225A3A"/>
    <w:rsid w:val="00235B2B"/>
    <w:rsid w:val="00236229"/>
    <w:rsid w:val="00255EB4"/>
    <w:rsid w:val="00261117"/>
    <w:rsid w:val="00263565"/>
    <w:rsid w:val="00271B33"/>
    <w:rsid w:val="002739F1"/>
    <w:rsid w:val="002778B7"/>
    <w:rsid w:val="0028148F"/>
    <w:rsid w:val="002826CB"/>
    <w:rsid w:val="0028705B"/>
    <w:rsid w:val="00297050"/>
    <w:rsid w:val="002B2EA8"/>
    <w:rsid w:val="002C2246"/>
    <w:rsid w:val="002C3396"/>
    <w:rsid w:val="002D0B46"/>
    <w:rsid w:val="002D47A6"/>
    <w:rsid w:val="002D63A7"/>
    <w:rsid w:val="002D67A2"/>
    <w:rsid w:val="002E07CA"/>
    <w:rsid w:val="002E6E55"/>
    <w:rsid w:val="0030144D"/>
    <w:rsid w:val="003052FD"/>
    <w:rsid w:val="00307B23"/>
    <w:rsid w:val="00310B50"/>
    <w:rsid w:val="0032152F"/>
    <w:rsid w:val="00321587"/>
    <w:rsid w:val="00322695"/>
    <w:rsid w:val="00326CE4"/>
    <w:rsid w:val="00327D21"/>
    <w:rsid w:val="003317FE"/>
    <w:rsid w:val="00333213"/>
    <w:rsid w:val="00345611"/>
    <w:rsid w:val="00354D0B"/>
    <w:rsid w:val="0037754A"/>
    <w:rsid w:val="00380585"/>
    <w:rsid w:val="003816F9"/>
    <w:rsid w:val="00385644"/>
    <w:rsid w:val="00386AD8"/>
    <w:rsid w:val="0039014A"/>
    <w:rsid w:val="0039417E"/>
    <w:rsid w:val="003A32FB"/>
    <w:rsid w:val="003A442F"/>
    <w:rsid w:val="003B1355"/>
    <w:rsid w:val="003B3A9B"/>
    <w:rsid w:val="003B5215"/>
    <w:rsid w:val="003B55AA"/>
    <w:rsid w:val="003C20C6"/>
    <w:rsid w:val="003D012A"/>
    <w:rsid w:val="003D469E"/>
    <w:rsid w:val="003D68BF"/>
    <w:rsid w:val="003D6A00"/>
    <w:rsid w:val="003E437F"/>
    <w:rsid w:val="003E54BA"/>
    <w:rsid w:val="003E7718"/>
    <w:rsid w:val="003F05DB"/>
    <w:rsid w:val="00403A26"/>
    <w:rsid w:val="004050F1"/>
    <w:rsid w:val="004107A0"/>
    <w:rsid w:val="00415C14"/>
    <w:rsid w:val="00426408"/>
    <w:rsid w:val="004327EA"/>
    <w:rsid w:val="00432CFA"/>
    <w:rsid w:val="004409FB"/>
    <w:rsid w:val="00440C5C"/>
    <w:rsid w:val="004427A5"/>
    <w:rsid w:val="00442FF0"/>
    <w:rsid w:val="0044510B"/>
    <w:rsid w:val="00447D3E"/>
    <w:rsid w:val="0045472F"/>
    <w:rsid w:val="00474CFF"/>
    <w:rsid w:val="00480D42"/>
    <w:rsid w:val="00493CAC"/>
    <w:rsid w:val="004957DF"/>
    <w:rsid w:val="004A4404"/>
    <w:rsid w:val="004A7911"/>
    <w:rsid w:val="004B08C2"/>
    <w:rsid w:val="004C1B98"/>
    <w:rsid w:val="004C1C0F"/>
    <w:rsid w:val="004C66E3"/>
    <w:rsid w:val="004D46D2"/>
    <w:rsid w:val="004F1A4B"/>
    <w:rsid w:val="004F342E"/>
    <w:rsid w:val="004F3E8B"/>
    <w:rsid w:val="00500F26"/>
    <w:rsid w:val="00502D0D"/>
    <w:rsid w:val="00504C96"/>
    <w:rsid w:val="0051466D"/>
    <w:rsid w:val="00523CB8"/>
    <w:rsid w:val="00524BF4"/>
    <w:rsid w:val="005258C4"/>
    <w:rsid w:val="00526AEB"/>
    <w:rsid w:val="00527F4E"/>
    <w:rsid w:val="00530E00"/>
    <w:rsid w:val="005438CE"/>
    <w:rsid w:val="00546357"/>
    <w:rsid w:val="00546CB3"/>
    <w:rsid w:val="00551BA2"/>
    <w:rsid w:val="00557ADF"/>
    <w:rsid w:val="0056567F"/>
    <w:rsid w:val="00565E40"/>
    <w:rsid w:val="00571266"/>
    <w:rsid w:val="005773FB"/>
    <w:rsid w:val="005868AC"/>
    <w:rsid w:val="005B02EF"/>
    <w:rsid w:val="005B068F"/>
    <w:rsid w:val="005B68EA"/>
    <w:rsid w:val="005C5719"/>
    <w:rsid w:val="005C7C00"/>
    <w:rsid w:val="005D0604"/>
    <w:rsid w:val="005F2293"/>
    <w:rsid w:val="005F2982"/>
    <w:rsid w:val="005F5C16"/>
    <w:rsid w:val="00602463"/>
    <w:rsid w:val="00603960"/>
    <w:rsid w:val="006045A2"/>
    <w:rsid w:val="00605D39"/>
    <w:rsid w:val="00630AD7"/>
    <w:rsid w:val="00630DA9"/>
    <w:rsid w:val="006342FA"/>
    <w:rsid w:val="006357F6"/>
    <w:rsid w:val="0063674F"/>
    <w:rsid w:val="006417DA"/>
    <w:rsid w:val="00650E79"/>
    <w:rsid w:val="00651A4D"/>
    <w:rsid w:val="00654C29"/>
    <w:rsid w:val="00660997"/>
    <w:rsid w:val="00663407"/>
    <w:rsid w:val="00665498"/>
    <w:rsid w:val="0066657C"/>
    <w:rsid w:val="00667F27"/>
    <w:rsid w:val="00677560"/>
    <w:rsid w:val="00681174"/>
    <w:rsid w:val="00685C40"/>
    <w:rsid w:val="0069071A"/>
    <w:rsid w:val="00692D00"/>
    <w:rsid w:val="00697C23"/>
    <w:rsid w:val="006A24B0"/>
    <w:rsid w:val="006A4115"/>
    <w:rsid w:val="006C0197"/>
    <w:rsid w:val="006C1D4C"/>
    <w:rsid w:val="006C3874"/>
    <w:rsid w:val="006C7E5C"/>
    <w:rsid w:val="006D11D5"/>
    <w:rsid w:val="006D3410"/>
    <w:rsid w:val="006E325B"/>
    <w:rsid w:val="006F163A"/>
    <w:rsid w:val="0070638E"/>
    <w:rsid w:val="007121D2"/>
    <w:rsid w:val="0071362F"/>
    <w:rsid w:val="007139FA"/>
    <w:rsid w:val="00715A29"/>
    <w:rsid w:val="00720589"/>
    <w:rsid w:val="0072135D"/>
    <w:rsid w:val="0072258F"/>
    <w:rsid w:val="00722E16"/>
    <w:rsid w:val="007238E2"/>
    <w:rsid w:val="00732921"/>
    <w:rsid w:val="00733D93"/>
    <w:rsid w:val="007360D3"/>
    <w:rsid w:val="007420D0"/>
    <w:rsid w:val="0074255C"/>
    <w:rsid w:val="00743993"/>
    <w:rsid w:val="007518A7"/>
    <w:rsid w:val="00757AE8"/>
    <w:rsid w:val="0076354C"/>
    <w:rsid w:val="007653D0"/>
    <w:rsid w:val="00766404"/>
    <w:rsid w:val="007727F0"/>
    <w:rsid w:val="00774F3D"/>
    <w:rsid w:val="00780695"/>
    <w:rsid w:val="00780892"/>
    <w:rsid w:val="007838F1"/>
    <w:rsid w:val="0078562D"/>
    <w:rsid w:val="00787DF6"/>
    <w:rsid w:val="0078EA0D"/>
    <w:rsid w:val="00790749"/>
    <w:rsid w:val="0079076B"/>
    <w:rsid w:val="00793247"/>
    <w:rsid w:val="007A2346"/>
    <w:rsid w:val="007A316B"/>
    <w:rsid w:val="007A7250"/>
    <w:rsid w:val="007A7CBE"/>
    <w:rsid w:val="007A7EB6"/>
    <w:rsid w:val="007B0E0F"/>
    <w:rsid w:val="007B5EC0"/>
    <w:rsid w:val="007C2281"/>
    <w:rsid w:val="007C2CB2"/>
    <w:rsid w:val="007C31B3"/>
    <w:rsid w:val="007C3415"/>
    <w:rsid w:val="007C66D8"/>
    <w:rsid w:val="007D786A"/>
    <w:rsid w:val="007E20F8"/>
    <w:rsid w:val="007E43AB"/>
    <w:rsid w:val="007E6698"/>
    <w:rsid w:val="007E7139"/>
    <w:rsid w:val="007F0DA0"/>
    <w:rsid w:val="007F3843"/>
    <w:rsid w:val="007F6BFC"/>
    <w:rsid w:val="007F743C"/>
    <w:rsid w:val="008063DB"/>
    <w:rsid w:val="00821B01"/>
    <w:rsid w:val="00822BDE"/>
    <w:rsid w:val="00824F39"/>
    <w:rsid w:val="00827661"/>
    <w:rsid w:val="00830673"/>
    <w:rsid w:val="00831C5F"/>
    <w:rsid w:val="00833F8D"/>
    <w:rsid w:val="0084078F"/>
    <w:rsid w:val="008469FB"/>
    <w:rsid w:val="00851F8D"/>
    <w:rsid w:val="008525BD"/>
    <w:rsid w:val="00854144"/>
    <w:rsid w:val="00867F30"/>
    <w:rsid w:val="00871C60"/>
    <w:rsid w:val="00893241"/>
    <w:rsid w:val="008A2D70"/>
    <w:rsid w:val="008C4152"/>
    <w:rsid w:val="008C4EF1"/>
    <w:rsid w:val="008D4A0C"/>
    <w:rsid w:val="008D7D26"/>
    <w:rsid w:val="008E12AA"/>
    <w:rsid w:val="008E7FC8"/>
    <w:rsid w:val="008F085C"/>
    <w:rsid w:val="008F0BBB"/>
    <w:rsid w:val="00901E54"/>
    <w:rsid w:val="00911E0D"/>
    <w:rsid w:val="0091330B"/>
    <w:rsid w:val="00921883"/>
    <w:rsid w:val="00924A77"/>
    <w:rsid w:val="0092700B"/>
    <w:rsid w:val="00930187"/>
    <w:rsid w:val="00933C8E"/>
    <w:rsid w:val="0093663C"/>
    <w:rsid w:val="00937A06"/>
    <w:rsid w:val="00943919"/>
    <w:rsid w:val="0094414A"/>
    <w:rsid w:val="00952120"/>
    <w:rsid w:val="00952314"/>
    <w:rsid w:val="00957C6E"/>
    <w:rsid w:val="00961A4B"/>
    <w:rsid w:val="0096381C"/>
    <w:rsid w:val="00964422"/>
    <w:rsid w:val="00966444"/>
    <w:rsid w:val="00975BED"/>
    <w:rsid w:val="00991856"/>
    <w:rsid w:val="00992349"/>
    <w:rsid w:val="00995B54"/>
    <w:rsid w:val="009A5BB6"/>
    <w:rsid w:val="009B2E00"/>
    <w:rsid w:val="009B5515"/>
    <w:rsid w:val="009B61F3"/>
    <w:rsid w:val="009B65F2"/>
    <w:rsid w:val="009B6F18"/>
    <w:rsid w:val="009B795F"/>
    <w:rsid w:val="009C3875"/>
    <w:rsid w:val="009C7FAD"/>
    <w:rsid w:val="009D0C83"/>
    <w:rsid w:val="009D1483"/>
    <w:rsid w:val="009D39A7"/>
    <w:rsid w:val="009E337E"/>
    <w:rsid w:val="009E72F0"/>
    <w:rsid w:val="009E7B53"/>
    <w:rsid w:val="009F0324"/>
    <w:rsid w:val="009F047A"/>
    <w:rsid w:val="009F30A2"/>
    <w:rsid w:val="009F4332"/>
    <w:rsid w:val="009F4A76"/>
    <w:rsid w:val="00A07804"/>
    <w:rsid w:val="00A10BB8"/>
    <w:rsid w:val="00A21A26"/>
    <w:rsid w:val="00A225F7"/>
    <w:rsid w:val="00A3640B"/>
    <w:rsid w:val="00A37C5F"/>
    <w:rsid w:val="00A503E9"/>
    <w:rsid w:val="00A63D50"/>
    <w:rsid w:val="00A651F8"/>
    <w:rsid w:val="00A65BBB"/>
    <w:rsid w:val="00A86CD4"/>
    <w:rsid w:val="00A87AF2"/>
    <w:rsid w:val="00A922C1"/>
    <w:rsid w:val="00A93318"/>
    <w:rsid w:val="00AA187A"/>
    <w:rsid w:val="00AA7840"/>
    <w:rsid w:val="00AB6C44"/>
    <w:rsid w:val="00AC064B"/>
    <w:rsid w:val="00AC533F"/>
    <w:rsid w:val="00AE1059"/>
    <w:rsid w:val="00AF38FF"/>
    <w:rsid w:val="00AF43CD"/>
    <w:rsid w:val="00B12357"/>
    <w:rsid w:val="00B144FC"/>
    <w:rsid w:val="00B145E8"/>
    <w:rsid w:val="00B17020"/>
    <w:rsid w:val="00B22CC8"/>
    <w:rsid w:val="00B22F3D"/>
    <w:rsid w:val="00B25432"/>
    <w:rsid w:val="00B26136"/>
    <w:rsid w:val="00B261A1"/>
    <w:rsid w:val="00B34944"/>
    <w:rsid w:val="00B35F8C"/>
    <w:rsid w:val="00B3765D"/>
    <w:rsid w:val="00B44AB8"/>
    <w:rsid w:val="00B53423"/>
    <w:rsid w:val="00B578D5"/>
    <w:rsid w:val="00B61B9B"/>
    <w:rsid w:val="00B65BBC"/>
    <w:rsid w:val="00B67134"/>
    <w:rsid w:val="00B729E7"/>
    <w:rsid w:val="00B82B12"/>
    <w:rsid w:val="00B82E6D"/>
    <w:rsid w:val="00B878A9"/>
    <w:rsid w:val="00B91E55"/>
    <w:rsid w:val="00B92748"/>
    <w:rsid w:val="00B95D4A"/>
    <w:rsid w:val="00BA10C5"/>
    <w:rsid w:val="00BA15F9"/>
    <w:rsid w:val="00BB6245"/>
    <w:rsid w:val="00BB7E4D"/>
    <w:rsid w:val="00BC0614"/>
    <w:rsid w:val="00BC340B"/>
    <w:rsid w:val="00BC689E"/>
    <w:rsid w:val="00BC71B6"/>
    <w:rsid w:val="00BC74FE"/>
    <w:rsid w:val="00BC79DA"/>
    <w:rsid w:val="00BD06E4"/>
    <w:rsid w:val="00BD3992"/>
    <w:rsid w:val="00BD4849"/>
    <w:rsid w:val="00BD5835"/>
    <w:rsid w:val="00BE1E08"/>
    <w:rsid w:val="00BF4C7F"/>
    <w:rsid w:val="00BF5946"/>
    <w:rsid w:val="00BF7F63"/>
    <w:rsid w:val="00C00F39"/>
    <w:rsid w:val="00C05A01"/>
    <w:rsid w:val="00C1604B"/>
    <w:rsid w:val="00C27DB5"/>
    <w:rsid w:val="00C3272D"/>
    <w:rsid w:val="00C345E2"/>
    <w:rsid w:val="00C34B5B"/>
    <w:rsid w:val="00C361DA"/>
    <w:rsid w:val="00C36582"/>
    <w:rsid w:val="00C50A97"/>
    <w:rsid w:val="00C51D8C"/>
    <w:rsid w:val="00C522AC"/>
    <w:rsid w:val="00C63561"/>
    <w:rsid w:val="00C64243"/>
    <w:rsid w:val="00C64F9A"/>
    <w:rsid w:val="00C67BE9"/>
    <w:rsid w:val="00C714BC"/>
    <w:rsid w:val="00C8193C"/>
    <w:rsid w:val="00C8209C"/>
    <w:rsid w:val="00C829AC"/>
    <w:rsid w:val="00C83DF1"/>
    <w:rsid w:val="00C845B5"/>
    <w:rsid w:val="00C8559E"/>
    <w:rsid w:val="00C86347"/>
    <w:rsid w:val="00C954BB"/>
    <w:rsid w:val="00CA2A12"/>
    <w:rsid w:val="00CA3098"/>
    <w:rsid w:val="00CA3283"/>
    <w:rsid w:val="00CA4CE4"/>
    <w:rsid w:val="00CB549F"/>
    <w:rsid w:val="00CC10EE"/>
    <w:rsid w:val="00CC2312"/>
    <w:rsid w:val="00CD3045"/>
    <w:rsid w:val="00CE2D81"/>
    <w:rsid w:val="00CE6C9F"/>
    <w:rsid w:val="00CF23D0"/>
    <w:rsid w:val="00CF6D5A"/>
    <w:rsid w:val="00D06596"/>
    <w:rsid w:val="00D11D6B"/>
    <w:rsid w:val="00D1512D"/>
    <w:rsid w:val="00D241A8"/>
    <w:rsid w:val="00D378A1"/>
    <w:rsid w:val="00D42811"/>
    <w:rsid w:val="00D4360E"/>
    <w:rsid w:val="00D62027"/>
    <w:rsid w:val="00D64BD6"/>
    <w:rsid w:val="00D74080"/>
    <w:rsid w:val="00D747EB"/>
    <w:rsid w:val="00D74B4C"/>
    <w:rsid w:val="00D83A3E"/>
    <w:rsid w:val="00D94896"/>
    <w:rsid w:val="00DA3023"/>
    <w:rsid w:val="00DA33E7"/>
    <w:rsid w:val="00DB3D23"/>
    <w:rsid w:val="00DB4F55"/>
    <w:rsid w:val="00DB51A1"/>
    <w:rsid w:val="00DB5711"/>
    <w:rsid w:val="00DB6D0F"/>
    <w:rsid w:val="00DC4C8F"/>
    <w:rsid w:val="00DD4081"/>
    <w:rsid w:val="00DE2314"/>
    <w:rsid w:val="00DE6371"/>
    <w:rsid w:val="00DE72D7"/>
    <w:rsid w:val="00DF0604"/>
    <w:rsid w:val="00DF10D1"/>
    <w:rsid w:val="00DF6D36"/>
    <w:rsid w:val="00DF6EA9"/>
    <w:rsid w:val="00DF7367"/>
    <w:rsid w:val="00E04533"/>
    <w:rsid w:val="00E166C8"/>
    <w:rsid w:val="00E17175"/>
    <w:rsid w:val="00E30F69"/>
    <w:rsid w:val="00E36675"/>
    <w:rsid w:val="00E41515"/>
    <w:rsid w:val="00E722C8"/>
    <w:rsid w:val="00E73E23"/>
    <w:rsid w:val="00E740C3"/>
    <w:rsid w:val="00E7435A"/>
    <w:rsid w:val="00E75401"/>
    <w:rsid w:val="00E82489"/>
    <w:rsid w:val="00E82B32"/>
    <w:rsid w:val="00E830F9"/>
    <w:rsid w:val="00E95C72"/>
    <w:rsid w:val="00EB3456"/>
    <w:rsid w:val="00EC536B"/>
    <w:rsid w:val="00EC5D82"/>
    <w:rsid w:val="00EC7BE5"/>
    <w:rsid w:val="00ED0EB8"/>
    <w:rsid w:val="00ED3B37"/>
    <w:rsid w:val="00ED4E05"/>
    <w:rsid w:val="00ED737B"/>
    <w:rsid w:val="00EE0BAA"/>
    <w:rsid w:val="00EE0D93"/>
    <w:rsid w:val="00EE1D23"/>
    <w:rsid w:val="00EE33F1"/>
    <w:rsid w:val="00EE5A1A"/>
    <w:rsid w:val="00EF060A"/>
    <w:rsid w:val="00F10207"/>
    <w:rsid w:val="00F13F57"/>
    <w:rsid w:val="00F2279F"/>
    <w:rsid w:val="00F25337"/>
    <w:rsid w:val="00F334AE"/>
    <w:rsid w:val="00F34A1B"/>
    <w:rsid w:val="00F44AFD"/>
    <w:rsid w:val="00F476FA"/>
    <w:rsid w:val="00F63F54"/>
    <w:rsid w:val="00F703F8"/>
    <w:rsid w:val="00F741A0"/>
    <w:rsid w:val="00F813DF"/>
    <w:rsid w:val="00F820D1"/>
    <w:rsid w:val="00F864A4"/>
    <w:rsid w:val="00F91A63"/>
    <w:rsid w:val="00F92F0D"/>
    <w:rsid w:val="00F96662"/>
    <w:rsid w:val="00FA3FCA"/>
    <w:rsid w:val="00FB1801"/>
    <w:rsid w:val="00FB4B01"/>
    <w:rsid w:val="00FB6A09"/>
    <w:rsid w:val="00FB7132"/>
    <w:rsid w:val="00FC118C"/>
    <w:rsid w:val="00FC4A2F"/>
    <w:rsid w:val="00FC5765"/>
    <w:rsid w:val="00FD0DFC"/>
    <w:rsid w:val="00FD300B"/>
    <w:rsid w:val="00FF108A"/>
    <w:rsid w:val="02CA7FAE"/>
    <w:rsid w:val="034D1EB1"/>
    <w:rsid w:val="0360E94B"/>
    <w:rsid w:val="03B63B76"/>
    <w:rsid w:val="03D9A7EC"/>
    <w:rsid w:val="06F8C290"/>
    <w:rsid w:val="0725289A"/>
    <w:rsid w:val="07434AAA"/>
    <w:rsid w:val="081F88AF"/>
    <w:rsid w:val="083C361C"/>
    <w:rsid w:val="09E1EB4A"/>
    <w:rsid w:val="09F85E35"/>
    <w:rsid w:val="0A2E8084"/>
    <w:rsid w:val="0A795F48"/>
    <w:rsid w:val="0AB8AFC8"/>
    <w:rsid w:val="0B26E7D1"/>
    <w:rsid w:val="0BCF32A8"/>
    <w:rsid w:val="0D36658C"/>
    <w:rsid w:val="0D50AD65"/>
    <w:rsid w:val="0EFB904D"/>
    <w:rsid w:val="0F0F63F3"/>
    <w:rsid w:val="0F2242D1"/>
    <w:rsid w:val="0F5EE2C5"/>
    <w:rsid w:val="0FB498B7"/>
    <w:rsid w:val="0FDCEF04"/>
    <w:rsid w:val="0FFFA080"/>
    <w:rsid w:val="1267F11B"/>
    <w:rsid w:val="137E1E7A"/>
    <w:rsid w:val="1413509E"/>
    <w:rsid w:val="14316552"/>
    <w:rsid w:val="1434CC71"/>
    <w:rsid w:val="14BBF77E"/>
    <w:rsid w:val="16965644"/>
    <w:rsid w:val="17400067"/>
    <w:rsid w:val="17AFC8A8"/>
    <w:rsid w:val="184A555D"/>
    <w:rsid w:val="18C4A6EC"/>
    <w:rsid w:val="19A4C1E6"/>
    <w:rsid w:val="1A912D3D"/>
    <w:rsid w:val="1B1978F5"/>
    <w:rsid w:val="1BCFAC5A"/>
    <w:rsid w:val="1CD72A43"/>
    <w:rsid w:val="1D64419B"/>
    <w:rsid w:val="1D6B9D3E"/>
    <w:rsid w:val="1E35DC8C"/>
    <w:rsid w:val="1E5119B7"/>
    <w:rsid w:val="1E72A458"/>
    <w:rsid w:val="1FAA2A67"/>
    <w:rsid w:val="20642CBD"/>
    <w:rsid w:val="20EB8849"/>
    <w:rsid w:val="20FB679F"/>
    <w:rsid w:val="21E4371C"/>
    <w:rsid w:val="226246F8"/>
    <w:rsid w:val="2357E685"/>
    <w:rsid w:val="241F1C6F"/>
    <w:rsid w:val="245B9F2D"/>
    <w:rsid w:val="250B70FA"/>
    <w:rsid w:val="25ED465E"/>
    <w:rsid w:val="2619807F"/>
    <w:rsid w:val="261EBE49"/>
    <w:rsid w:val="27712BF6"/>
    <w:rsid w:val="27C4ED6F"/>
    <w:rsid w:val="289160FD"/>
    <w:rsid w:val="296D572D"/>
    <w:rsid w:val="2A9E8339"/>
    <w:rsid w:val="2B9A087A"/>
    <w:rsid w:val="2D01A670"/>
    <w:rsid w:val="2D1178D4"/>
    <w:rsid w:val="2DB7152A"/>
    <w:rsid w:val="2DCC1E2A"/>
    <w:rsid w:val="2E0B430C"/>
    <w:rsid w:val="2E4E09D0"/>
    <w:rsid w:val="2E4E25B7"/>
    <w:rsid w:val="2EFFFEB1"/>
    <w:rsid w:val="2FFB4985"/>
    <w:rsid w:val="30466DE3"/>
    <w:rsid w:val="308E38BF"/>
    <w:rsid w:val="3109E1EE"/>
    <w:rsid w:val="3206589F"/>
    <w:rsid w:val="34478CCC"/>
    <w:rsid w:val="3461EB8E"/>
    <w:rsid w:val="34658BDC"/>
    <w:rsid w:val="34817E7C"/>
    <w:rsid w:val="35ABB2D5"/>
    <w:rsid w:val="35E8973D"/>
    <w:rsid w:val="36063363"/>
    <w:rsid w:val="36E08F9C"/>
    <w:rsid w:val="380D9BDA"/>
    <w:rsid w:val="38864243"/>
    <w:rsid w:val="38CE14AA"/>
    <w:rsid w:val="39196080"/>
    <w:rsid w:val="39385798"/>
    <w:rsid w:val="39770F3C"/>
    <w:rsid w:val="3998B551"/>
    <w:rsid w:val="399ACE03"/>
    <w:rsid w:val="3AB8020D"/>
    <w:rsid w:val="3AE3E3FC"/>
    <w:rsid w:val="3AE6F1D5"/>
    <w:rsid w:val="3CAA982B"/>
    <w:rsid w:val="3D12F253"/>
    <w:rsid w:val="3DDFD77B"/>
    <w:rsid w:val="3DF35F27"/>
    <w:rsid w:val="3EB02439"/>
    <w:rsid w:val="3EFB7F66"/>
    <w:rsid w:val="3F411F6C"/>
    <w:rsid w:val="3FA0E238"/>
    <w:rsid w:val="3FA5CA7D"/>
    <w:rsid w:val="40F45D12"/>
    <w:rsid w:val="413B73C0"/>
    <w:rsid w:val="41427E32"/>
    <w:rsid w:val="41B5A6CA"/>
    <w:rsid w:val="41D398C2"/>
    <w:rsid w:val="41D8DEDF"/>
    <w:rsid w:val="4237CF14"/>
    <w:rsid w:val="425D59B3"/>
    <w:rsid w:val="46AB2A7A"/>
    <w:rsid w:val="46CDEF9F"/>
    <w:rsid w:val="46D416BD"/>
    <w:rsid w:val="47931F42"/>
    <w:rsid w:val="4906F5CF"/>
    <w:rsid w:val="4970FE2E"/>
    <w:rsid w:val="49E5AA69"/>
    <w:rsid w:val="4A79ACA1"/>
    <w:rsid w:val="4B19067B"/>
    <w:rsid w:val="4B96AD4D"/>
    <w:rsid w:val="4BFC74D6"/>
    <w:rsid w:val="4C15902E"/>
    <w:rsid w:val="4C88C644"/>
    <w:rsid w:val="4D8032EA"/>
    <w:rsid w:val="4E2E2C23"/>
    <w:rsid w:val="4E53DF85"/>
    <w:rsid w:val="4E863455"/>
    <w:rsid w:val="4ED9EBDD"/>
    <w:rsid w:val="4EE2C220"/>
    <w:rsid w:val="4EE93A95"/>
    <w:rsid w:val="4F17B18D"/>
    <w:rsid w:val="4F98698A"/>
    <w:rsid w:val="500CCDD0"/>
    <w:rsid w:val="521C07AF"/>
    <w:rsid w:val="52D6B836"/>
    <w:rsid w:val="535F8431"/>
    <w:rsid w:val="53D27616"/>
    <w:rsid w:val="54A0CA6E"/>
    <w:rsid w:val="54B802C2"/>
    <w:rsid w:val="54E6A9DF"/>
    <w:rsid w:val="554EE780"/>
    <w:rsid w:val="5588E579"/>
    <w:rsid w:val="57A28AFF"/>
    <w:rsid w:val="583D9EB6"/>
    <w:rsid w:val="58552DE7"/>
    <w:rsid w:val="585E21B5"/>
    <w:rsid w:val="58790A7F"/>
    <w:rsid w:val="598A3600"/>
    <w:rsid w:val="599627FD"/>
    <w:rsid w:val="59BD99A5"/>
    <w:rsid w:val="5A9C6F47"/>
    <w:rsid w:val="5AE5B37B"/>
    <w:rsid w:val="5B104B04"/>
    <w:rsid w:val="5CDED0C6"/>
    <w:rsid w:val="5D55A982"/>
    <w:rsid w:val="5D58696E"/>
    <w:rsid w:val="5E438BD4"/>
    <w:rsid w:val="5E504C37"/>
    <w:rsid w:val="5E6B16E1"/>
    <w:rsid w:val="5E6FD5AF"/>
    <w:rsid w:val="5FFA7131"/>
    <w:rsid w:val="60A0AC56"/>
    <w:rsid w:val="60A9AD9C"/>
    <w:rsid w:val="61322DF9"/>
    <w:rsid w:val="62599CA4"/>
    <w:rsid w:val="62C91C9A"/>
    <w:rsid w:val="639E6C53"/>
    <w:rsid w:val="649185D6"/>
    <w:rsid w:val="64C6725A"/>
    <w:rsid w:val="6582EB41"/>
    <w:rsid w:val="672EEF6A"/>
    <w:rsid w:val="689B6469"/>
    <w:rsid w:val="6A773E23"/>
    <w:rsid w:val="6B41355A"/>
    <w:rsid w:val="6B7FD9B7"/>
    <w:rsid w:val="6C0DAD97"/>
    <w:rsid w:val="6C1FB6CF"/>
    <w:rsid w:val="6CC51C44"/>
    <w:rsid w:val="6CC639D8"/>
    <w:rsid w:val="6CE92317"/>
    <w:rsid w:val="6D37408C"/>
    <w:rsid w:val="6D63F3A9"/>
    <w:rsid w:val="6E0CFE31"/>
    <w:rsid w:val="6EDD804B"/>
    <w:rsid w:val="6EE44357"/>
    <w:rsid w:val="6FB31931"/>
    <w:rsid w:val="7066BA57"/>
    <w:rsid w:val="70D32041"/>
    <w:rsid w:val="711A1AE6"/>
    <w:rsid w:val="713AC55C"/>
    <w:rsid w:val="713E7250"/>
    <w:rsid w:val="7197EA88"/>
    <w:rsid w:val="71EC14E9"/>
    <w:rsid w:val="72447C56"/>
    <w:rsid w:val="7332E274"/>
    <w:rsid w:val="7372D55F"/>
    <w:rsid w:val="73D9B171"/>
    <w:rsid w:val="73E3F9BC"/>
    <w:rsid w:val="74AF1E14"/>
    <w:rsid w:val="754A2A3C"/>
    <w:rsid w:val="7563DC96"/>
    <w:rsid w:val="75CFD593"/>
    <w:rsid w:val="767D5C3C"/>
    <w:rsid w:val="76E2726F"/>
    <w:rsid w:val="77A15BC0"/>
    <w:rsid w:val="77D32AC2"/>
    <w:rsid w:val="78D45C51"/>
    <w:rsid w:val="79493AF6"/>
    <w:rsid w:val="79765B50"/>
    <w:rsid w:val="79999356"/>
    <w:rsid w:val="79CCFFE3"/>
    <w:rsid w:val="7A2C9724"/>
    <w:rsid w:val="7A329D9B"/>
    <w:rsid w:val="7AB4BDC3"/>
    <w:rsid w:val="7B14289D"/>
    <w:rsid w:val="7BBAB5D1"/>
    <w:rsid w:val="7C4EE0A3"/>
    <w:rsid w:val="7CB71C3B"/>
    <w:rsid w:val="7CC7086E"/>
    <w:rsid w:val="7CE18981"/>
    <w:rsid w:val="7CFA2124"/>
    <w:rsid w:val="7D3231D0"/>
    <w:rsid w:val="7E1FA5B9"/>
    <w:rsid w:val="7E97A622"/>
    <w:rsid w:val="7EF7E719"/>
    <w:rsid w:val="7F302D86"/>
    <w:rsid w:val="7F6D6776"/>
    <w:rsid w:val="7F75E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974FB"/>
  <w15:docId w15:val="{110FDE4A-19D0-47FB-BAD1-F8FDBE89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D00"/>
  </w:style>
  <w:style w:type="paragraph" w:styleId="Heading1">
    <w:name w:val="heading 1"/>
    <w:basedOn w:val="Normal"/>
    <w:next w:val="Normal"/>
    <w:link w:val="Heading1Char"/>
    <w:qFormat/>
    <w:rsid w:val="005F5C16"/>
    <w:pPr>
      <w:keepNext/>
      <w:keepLines/>
      <w:spacing w:before="480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4B84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271B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B33"/>
  </w:style>
  <w:style w:type="character" w:customStyle="1" w:styleId="CommentTextChar">
    <w:name w:val="Comment Text Char"/>
    <w:basedOn w:val="DefaultParagraphFont"/>
    <w:link w:val="CommentText"/>
    <w:rsid w:val="00271B33"/>
  </w:style>
  <w:style w:type="paragraph" w:styleId="CommentSubject">
    <w:name w:val="annotation subject"/>
    <w:basedOn w:val="CommentText"/>
    <w:next w:val="CommentText"/>
    <w:link w:val="CommentSubjectChar"/>
    <w:rsid w:val="0027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1B33"/>
    <w:rPr>
      <w:b/>
      <w:bCs/>
    </w:rPr>
  </w:style>
  <w:style w:type="paragraph" w:customStyle="1" w:styleId="Default">
    <w:name w:val="Default"/>
    <w:rsid w:val="007635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6354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99"/>
    <w:qFormat/>
    <w:rsid w:val="00A37C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5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3423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793247"/>
  </w:style>
  <w:style w:type="character" w:styleId="Hyperlink">
    <w:name w:val="Hyperlink"/>
    <w:basedOn w:val="DefaultParagraphFont"/>
    <w:rsid w:val="00162E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5C16"/>
    <w:rPr>
      <w:rFonts w:ascii="Cambria" w:hAnsi="Cambria"/>
      <w:b/>
      <w:bCs/>
      <w:color w:val="365F91"/>
      <w:sz w:val="28"/>
      <w:szCs w:val="28"/>
      <w:lang w:val="en-GB"/>
    </w:rPr>
  </w:style>
  <w:style w:type="paragraph" w:customStyle="1" w:styleId="1">
    <w:name w:val="列出段落1"/>
    <w:basedOn w:val="Normal"/>
    <w:qFormat/>
    <w:rsid w:val="005F5C16"/>
    <w:pPr>
      <w:ind w:left="720" w:firstLine="720"/>
      <w:contextualSpacing/>
    </w:pPr>
    <w:rPr>
      <w:rFonts w:eastAsia="MS Mincho"/>
      <w:sz w:val="24"/>
      <w:szCs w:val="24"/>
      <w:lang w:eastAsia="ja-JP"/>
    </w:rPr>
  </w:style>
  <w:style w:type="paragraph" w:customStyle="1" w:styleId="BodytextIndented">
    <w:name w:val="BodytextIndented"/>
    <w:basedOn w:val="Normal"/>
    <w:rsid w:val="00DE2314"/>
    <w:pPr>
      <w:ind w:firstLine="284"/>
      <w:jc w:val="both"/>
    </w:pPr>
    <w:rPr>
      <w:rFonts w:ascii="Times" w:hAnsi="Times"/>
      <w:i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3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DE2314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object">
    <w:name w:val="object"/>
    <w:basedOn w:val="DefaultParagraphFont"/>
    <w:rsid w:val="00827661"/>
  </w:style>
  <w:style w:type="paragraph" w:styleId="NormalWeb">
    <w:name w:val="Normal (Web)"/>
    <w:basedOn w:val="Normal"/>
    <w:uiPriority w:val="99"/>
    <w:unhideWhenUsed/>
    <w:rsid w:val="00065015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PlaceholderText">
    <w:name w:val="Placeholder Text"/>
    <w:basedOn w:val="DefaultParagraphFont"/>
    <w:uiPriority w:val="99"/>
    <w:semiHidden/>
    <w:rsid w:val="00F96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5FD7C6451A74C97D39B31C97C4F89" ma:contentTypeVersion="7" ma:contentTypeDescription="Create a new document." ma:contentTypeScope="" ma:versionID="c85c758e8e0a092d0c71cc3be4d3c8df">
  <xsd:schema xmlns:xsd="http://www.w3.org/2001/XMLSchema" xmlns:xs="http://www.w3.org/2001/XMLSchema" xmlns:p="http://schemas.microsoft.com/office/2006/metadata/properties" xmlns:ns1="http://schemas.microsoft.com/sharepoint/v3" xmlns:ns3="a70d8eeb-72b1-424a-a9ed-df5e2ed16667" xmlns:ns4="d5fb7fb9-b445-4de2-92ec-c83865c00062" targetNamespace="http://schemas.microsoft.com/office/2006/metadata/properties" ma:root="true" ma:fieldsID="8b4fe7612bd7f1fabcdefe2d62d2cb34" ns1:_="" ns3:_="" ns4:_="">
    <xsd:import namespace="http://schemas.microsoft.com/sharepoint/v3"/>
    <xsd:import namespace="a70d8eeb-72b1-424a-a9ed-df5e2ed16667"/>
    <xsd:import namespace="d5fb7fb9-b445-4de2-92ec-c83865c00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eeb-72b1-424a-a9ed-df5e2ed16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7fb9-b445-4de2-92ec-c83865c00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7D46-75BE-48D5-B8DD-B1E28CEA0C6E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a70d8eeb-72b1-424a-a9ed-df5e2ed16667"/>
    <ds:schemaRef ds:uri="d5fb7fb9-b445-4de2-92ec-c83865c0006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906055-5322-49C2-B2FF-C4DB24EE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506B1-2AF0-4F04-BF10-687FB5610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d8eeb-72b1-424a-a9ed-df5e2ed16667"/>
    <ds:schemaRef ds:uri="d5fb7fb9-b445-4de2-92ec-c83865c00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0BCA0-227C-4AE8-9677-E5E4138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Review Plan:</vt:lpstr>
    </vt:vector>
  </TitlesOfParts>
  <Company>Dept. of Energy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Review Plan:</dc:title>
  <dc:creator>Office of Science</dc:creator>
  <cp:lastModifiedBy>Riad Suleiman</cp:lastModifiedBy>
  <cp:revision>2</cp:revision>
  <cp:lastPrinted>2018-07-13T18:53:00Z</cp:lastPrinted>
  <dcterms:created xsi:type="dcterms:W3CDTF">2021-04-27T17:14:00Z</dcterms:created>
  <dcterms:modified xsi:type="dcterms:W3CDTF">2021-04-27T17:14:00Z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0x0101000EA5FD7C6451A74C97D39B31C97C4F89</vt:lpwstr>
  </property>
</Properties>
</file>