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2A1" w:rsidRPr="00CC2149" w:rsidRDefault="0037782A" w:rsidP="00162067">
      <w:pPr>
        <w:pStyle w:val="JACoWPaperTitle"/>
      </w:pPr>
      <w:r w:rsidRPr="0037782A">
        <w:t xml:space="preserve">300 </w:t>
      </w:r>
      <w:r w:rsidR="00176F11">
        <w:t>k</w:t>
      </w:r>
      <w:r w:rsidR="00176F11" w:rsidRPr="0037782A">
        <w:t xml:space="preserve">V </w:t>
      </w:r>
      <w:r w:rsidRPr="0037782A">
        <w:t>DC HIGH VOLTAGE PHOTOGUN WITH IN</w:t>
      </w:r>
      <w:r w:rsidR="00F5271F">
        <w:t>VERTED INSULATOR GEOMETRY AND Cs</w:t>
      </w:r>
      <w:r w:rsidRPr="0037782A">
        <w:t>K</w:t>
      </w:r>
      <w:r w:rsidRPr="00F5271F">
        <w:rPr>
          <w:rFonts w:ascii="Times New Roman Bold" w:hAnsi="Times New Roman Bold"/>
          <w:vertAlign w:val="subscript"/>
        </w:rPr>
        <w:t>2</w:t>
      </w:r>
      <w:r w:rsidR="00F5271F">
        <w:t>Sb</w:t>
      </w:r>
      <w:r w:rsidRPr="0037782A">
        <w:t xml:space="preserve"> PHOTOCATHODE</w:t>
      </w:r>
      <w:r>
        <w:t xml:space="preserve"> </w:t>
      </w:r>
    </w:p>
    <w:p w:rsidR="00D162A1" w:rsidRPr="00CC2149" w:rsidRDefault="0037782A" w:rsidP="00C47112">
      <w:pPr>
        <w:pStyle w:val="JACoWAuthorList"/>
      </w:pPr>
      <w:r w:rsidRPr="0037782A">
        <w:t xml:space="preserve">Y. Wang, P. Adderley, B. Bullard, J. Benesch, J. Grames, F. Hannon, C. Hernandez-Garcia, J. Hansknecht, G. Krafft, R. Kazimi, M. Poelker, M. A. Mamun, R. </w:t>
      </w:r>
      <w:proofErr w:type="spellStart"/>
      <w:r w:rsidRPr="0037782A">
        <w:t>Suleiman</w:t>
      </w:r>
      <w:proofErr w:type="spellEnd"/>
      <w:r w:rsidRPr="0037782A">
        <w:t>, G. P</w:t>
      </w:r>
      <w:r w:rsidR="00446254">
        <w:t>alacios</w:t>
      </w:r>
      <w:r w:rsidR="008F1B44" w:rsidRPr="008F1B44">
        <w:rPr>
          <w:vertAlign w:val="superscript"/>
        </w:rPr>
        <w:t>1</w:t>
      </w:r>
      <w:r w:rsidR="00446254">
        <w:t xml:space="preserve">, M. </w:t>
      </w:r>
      <w:proofErr w:type="spellStart"/>
      <w:r w:rsidR="00446254">
        <w:t>Ti</w:t>
      </w:r>
      <w:r w:rsidR="00446254">
        <w:t>e</w:t>
      </w:r>
      <w:r w:rsidR="00446254">
        <w:t>fen</w:t>
      </w:r>
      <w:proofErr w:type="spellEnd"/>
      <w:r w:rsidR="00446254">
        <w:t xml:space="preserve">-back, </w:t>
      </w:r>
      <w:r w:rsidR="008F1B44" w:rsidRPr="008F1B44">
        <w:t>S. Wijethunga</w:t>
      </w:r>
      <w:r w:rsidR="008F1B44" w:rsidRPr="008F1B44">
        <w:rPr>
          <w:vertAlign w:val="superscript"/>
        </w:rPr>
        <w:t>1</w:t>
      </w:r>
      <w:r w:rsidR="008F1B44" w:rsidRPr="008F1B44">
        <w:t xml:space="preserve">,  </w:t>
      </w:r>
      <w:r w:rsidRPr="0037782A">
        <w:t>S. Zhang, Thomas Jefferson National Accelerator Facility, Newport News, VA 23606 USA</w:t>
      </w:r>
      <w:r w:rsidR="008F1B44">
        <w:t>,</w:t>
      </w:r>
      <w:r w:rsidR="00E35EFD">
        <w:t xml:space="preserve">  </w:t>
      </w:r>
      <w:r w:rsidR="00E35EFD" w:rsidRPr="00E35EFD">
        <w:t xml:space="preserve"> </w:t>
      </w:r>
      <w:r w:rsidR="00FB19FA" w:rsidRPr="00FB19FA">
        <w:rPr>
          <w:vertAlign w:val="superscript"/>
        </w:rPr>
        <w:t>1</w:t>
      </w:r>
      <w:r w:rsidR="00E35EFD">
        <w:t>Old Dominio</w:t>
      </w:r>
      <w:bookmarkStart w:id="0" w:name="_GoBack"/>
      <w:bookmarkEnd w:id="0"/>
      <w:r w:rsidR="00E35EFD">
        <w:t xml:space="preserve">n </w:t>
      </w:r>
      <w:proofErr w:type="spellStart"/>
      <w:r w:rsidR="00E35EFD">
        <w:t>University</w:t>
      </w:r>
      <w:proofErr w:type="spellEnd"/>
      <w:r w:rsidR="00E35EFD">
        <w:t>, Norfolk, VA 23</w:t>
      </w:r>
      <w:r w:rsidR="008F1B44">
        <w:t>529</w:t>
      </w:r>
      <w:r w:rsidR="00E35EFD">
        <w:t xml:space="preserve"> USA</w:t>
      </w:r>
      <w:r w:rsidR="00D162A1" w:rsidRPr="00CC2149">
        <w:br/>
      </w:r>
    </w:p>
    <w:p w:rsidR="00D162A1" w:rsidRPr="00CC2149" w:rsidRDefault="00D162A1" w:rsidP="00DC4A14">
      <w:pPr>
        <w:pStyle w:val="Caption"/>
        <w:jc w:val="left"/>
        <w:rPr>
          <w:lang w:val="fr-FR"/>
        </w:rPr>
        <w:sectPr w:rsidR="00D162A1" w:rsidRPr="00CC2149" w:rsidSect="00D162A1">
          <w:footnotePr>
            <w:pos w:val="beneathText"/>
            <w:numFmt w:val="chicago"/>
          </w:footnotePr>
          <w:endnotePr>
            <w:numFmt w:val="decimal"/>
          </w:endnotePr>
          <w:pgSz w:w="11907" w:h="16840" w:code="9"/>
          <w:pgMar w:top="2098" w:right="1134" w:bottom="1077" w:left="1134" w:header="1077" w:footer="1077" w:gutter="0"/>
          <w:cols w:space="720"/>
          <w:titlePg/>
          <w:docGrid w:linePitch="360"/>
        </w:sectPr>
      </w:pPr>
    </w:p>
    <w:p w:rsidR="00D162A1" w:rsidRPr="00F12E83" w:rsidRDefault="00D162A1" w:rsidP="00DC4A14">
      <w:pPr>
        <w:pStyle w:val="JACoWAbstractHeading"/>
        <w:jc w:val="center"/>
      </w:pPr>
      <w:r w:rsidRPr="00F12E83">
        <w:lastRenderedPageBreak/>
        <w:t>Abstract</w:t>
      </w:r>
    </w:p>
    <w:p w:rsidR="00D162A1" w:rsidRPr="00CC2149" w:rsidRDefault="0037782A" w:rsidP="00D162A1">
      <w:pPr>
        <w:pStyle w:val="BodyTextIndent"/>
        <w:rPr>
          <w:kern w:val="16"/>
        </w:rPr>
      </w:pPr>
      <w:r w:rsidRPr="0037782A">
        <w:rPr>
          <w:rStyle w:val="JACoWBodyTextIndentChar"/>
        </w:rPr>
        <w:t xml:space="preserve">A compact DC high voltage photogun with inverted-insulator geometry was designed, built and operated reli-ably at </w:t>
      </w:r>
      <w:r w:rsidR="00413386">
        <w:rPr>
          <w:rStyle w:val="JACoWBodyTextIndentChar"/>
        </w:rPr>
        <w:t>-</w:t>
      </w:r>
      <w:r w:rsidRPr="0037782A">
        <w:rPr>
          <w:rStyle w:val="JACoWBodyTextIndentChar"/>
        </w:rPr>
        <w:t>300 kV bias voltage using alkali-antimonide pho-tocathodes. This presentation describes key electrostatic design features of the photogun with accompanying emit-tance measurements obtained across the entire photocat</w:t>
      </w:r>
      <w:r w:rsidRPr="0037782A">
        <w:rPr>
          <w:rStyle w:val="JACoWBodyTextIndentChar"/>
        </w:rPr>
        <w:t>h</w:t>
      </w:r>
      <w:r w:rsidRPr="0037782A">
        <w:rPr>
          <w:rStyle w:val="JACoWBodyTextIndentChar"/>
        </w:rPr>
        <w:t>ode surface that speak to field non-uniformity within the cathode/anode gap.  A summary of initial photocathode lifetime measurements at beam currents up to 4.5 mA is presented</w:t>
      </w:r>
      <w:r w:rsidR="00FC0187" w:rsidRPr="000E5C8A">
        <w:rPr>
          <w:kern w:val="16"/>
        </w:rPr>
        <w:t>.</w:t>
      </w:r>
      <w:r w:rsidR="00FC0187">
        <w:rPr>
          <w:kern w:val="16"/>
        </w:rPr>
        <w:t xml:space="preserve"> </w:t>
      </w:r>
    </w:p>
    <w:p w:rsidR="00D162A1" w:rsidRPr="00CC2149" w:rsidRDefault="0037782A" w:rsidP="002C75A7">
      <w:pPr>
        <w:pStyle w:val="JACoWSectionHeading"/>
      </w:pPr>
      <w:r w:rsidRPr="0037782A">
        <w:t>GUN DESIGN</w:t>
      </w:r>
    </w:p>
    <w:p w:rsidR="00322C2A" w:rsidRDefault="00566E47" w:rsidP="00D162A1">
      <w:pPr>
        <w:pStyle w:val="BodyTextIndent"/>
        <w:rPr>
          <w:rStyle w:val="JACoWBodyTextIndentChar"/>
        </w:rPr>
      </w:pPr>
      <w:r>
        <w:rPr>
          <w:rStyle w:val="JACoWBodyTextIndentChar"/>
        </w:rPr>
        <w:t xml:space="preserve">At Jefferson Lab, there </w:t>
      </w:r>
      <w:r w:rsidR="00BB0D33">
        <w:rPr>
          <w:rStyle w:val="JACoWBodyTextIndentChar"/>
        </w:rPr>
        <w:t>was</w:t>
      </w:r>
      <w:r>
        <w:rPr>
          <w:rStyle w:val="JACoWBodyTextIndentChar"/>
        </w:rPr>
        <w:t xml:space="preserve"> incentive to improve the functionality of a vent/bake style photogun that operates at -350 kV with GaAs photocathode </w:t>
      </w:r>
      <w:r w:rsidR="00360C3F">
        <w:rPr>
          <w:rStyle w:val="JACoWBodyTextIndentChar"/>
        </w:rPr>
        <w:t xml:space="preserve">[1] </w:t>
      </w:r>
      <w:r>
        <w:rPr>
          <w:rStyle w:val="JACoWBodyTextIndentChar"/>
        </w:rPr>
        <w:t>that was used to deliver mill</w:t>
      </w:r>
      <w:r w:rsidR="00C3684C">
        <w:rPr>
          <w:rStyle w:val="JACoWBodyTextIndentChar"/>
        </w:rPr>
        <w:t>i</w:t>
      </w:r>
      <w:r>
        <w:rPr>
          <w:rStyle w:val="JACoWBodyTextIndentChar"/>
        </w:rPr>
        <w:t>ampere beams for the free electron laser [</w:t>
      </w:r>
      <w:r w:rsidR="00360C3F">
        <w:rPr>
          <w:rStyle w:val="JACoWBodyTextIndentChar"/>
        </w:rPr>
        <w:t>2</w:t>
      </w:r>
      <w:r>
        <w:rPr>
          <w:rStyle w:val="JACoWBodyTextIndentChar"/>
        </w:rPr>
        <w:t>].  In addition, the JLEIC recirculator-cooler requires very high average current magnetized beams with nanoCo</w:t>
      </w:r>
      <w:r>
        <w:rPr>
          <w:rStyle w:val="JACoWBodyTextIndentChar"/>
        </w:rPr>
        <w:t>u</w:t>
      </w:r>
      <w:r>
        <w:rPr>
          <w:rStyle w:val="JACoWBodyTextIndentChar"/>
        </w:rPr>
        <w:t>lomb bunch charge</w:t>
      </w:r>
      <w:r w:rsidR="002D7137">
        <w:rPr>
          <w:rStyle w:val="JACoWBodyTextIndentChar"/>
        </w:rPr>
        <w:t xml:space="preserve"> [</w:t>
      </w:r>
      <w:r w:rsidR="00360C3F">
        <w:rPr>
          <w:rStyle w:val="JACoWBodyTextIndentChar"/>
        </w:rPr>
        <w:t>3</w:t>
      </w:r>
      <w:r w:rsidR="002D7137">
        <w:rPr>
          <w:rStyle w:val="JACoWBodyTextIndentChar"/>
        </w:rPr>
        <w:t>]</w:t>
      </w:r>
      <w:r>
        <w:rPr>
          <w:rStyle w:val="JACoWBodyTextIndentChar"/>
        </w:rPr>
        <w:t xml:space="preserve">. This work describes a new load-locked </w:t>
      </w:r>
      <w:r w:rsidR="00C47112">
        <w:rPr>
          <w:rStyle w:val="JACoWBodyTextIndentChar"/>
        </w:rPr>
        <w:t xml:space="preserve">dc high voltage </w:t>
      </w:r>
      <w:r>
        <w:rPr>
          <w:rStyle w:val="JACoWBodyTextIndentChar"/>
        </w:rPr>
        <w:t xml:space="preserve">photogun </w:t>
      </w:r>
      <w:r w:rsidR="002D7137">
        <w:rPr>
          <w:rStyle w:val="JACoWBodyTextIndentChar"/>
        </w:rPr>
        <w:t>operate</w:t>
      </w:r>
      <w:r w:rsidR="00413386">
        <w:rPr>
          <w:rStyle w:val="JACoWBodyTextIndentChar"/>
        </w:rPr>
        <w:t>d</w:t>
      </w:r>
      <w:r w:rsidR="002D7137">
        <w:rPr>
          <w:rStyle w:val="JACoWBodyTextIndentChar"/>
        </w:rPr>
        <w:t xml:space="preserve"> at -300 kV </w:t>
      </w:r>
      <w:r>
        <w:rPr>
          <w:rStyle w:val="JACoWBodyTextIndentChar"/>
        </w:rPr>
        <w:t>with alkali-antimonide photocathode</w:t>
      </w:r>
      <w:r w:rsidR="00413386">
        <w:rPr>
          <w:rStyle w:val="JACoWBodyTextIndentChar"/>
        </w:rPr>
        <w:t>s</w:t>
      </w:r>
      <w:r w:rsidR="00BB0D33">
        <w:rPr>
          <w:rStyle w:val="JACoWBodyTextIndentChar"/>
        </w:rPr>
        <w:t xml:space="preserve">. </w:t>
      </w:r>
      <w:r>
        <w:rPr>
          <w:rStyle w:val="JACoWBodyTextIndentChar"/>
        </w:rPr>
        <w:t>Th</w:t>
      </w:r>
      <w:r w:rsidR="002D7137">
        <w:rPr>
          <w:rStyle w:val="JACoWBodyTextIndentChar"/>
        </w:rPr>
        <w:t>e</w:t>
      </w:r>
      <w:r>
        <w:rPr>
          <w:rStyle w:val="JACoWBodyTextIndentChar"/>
        </w:rPr>
        <w:t xml:space="preserve"> new photogun relies on an inverted-insulator geometry where the insul</w:t>
      </w:r>
      <w:r>
        <w:rPr>
          <w:rStyle w:val="JACoWBodyTextIndentChar"/>
        </w:rPr>
        <w:t>a</w:t>
      </w:r>
      <w:r>
        <w:rPr>
          <w:rStyle w:val="JACoWBodyTextIndentChar"/>
        </w:rPr>
        <w:t>tor extends into the photogun high voltage chamber and supports the cathode electrode. Design advantages include compact size with relatively small surface area compared to photogun designs that employ large cylindrical insul</w:t>
      </w:r>
      <w:r>
        <w:rPr>
          <w:rStyle w:val="JACoWBodyTextIndentChar"/>
        </w:rPr>
        <w:t>a</w:t>
      </w:r>
      <w:r>
        <w:rPr>
          <w:rStyle w:val="JACoWBodyTextIndentChar"/>
        </w:rPr>
        <w:t xml:space="preserve">tors, which is good from a vacuum perspective. </w:t>
      </w:r>
      <w:r w:rsidR="002D7137">
        <w:rPr>
          <w:rStyle w:val="JACoWBodyTextIndentChar"/>
        </w:rPr>
        <w:t>And b</w:t>
      </w:r>
      <w:r>
        <w:rPr>
          <w:rStyle w:val="JACoWBodyTextIndentChar"/>
        </w:rPr>
        <w:t>e</w:t>
      </w:r>
      <w:r>
        <w:rPr>
          <w:rStyle w:val="JACoWBodyTextIndentChar"/>
        </w:rPr>
        <w:t xml:space="preserve">cause the insulator supports the cathode electrode, there is less metal biased at high voltage, </w:t>
      </w:r>
      <w:r w:rsidR="00BC452D">
        <w:rPr>
          <w:rStyle w:val="JACoWBodyTextIndentChar"/>
        </w:rPr>
        <w:t>which</w:t>
      </w:r>
      <w:r>
        <w:rPr>
          <w:rStyle w:val="JACoWBodyTextIndentChar"/>
        </w:rPr>
        <w:t xml:space="preserve"> serves to min</w:t>
      </w:r>
      <w:r>
        <w:rPr>
          <w:rStyle w:val="JACoWBodyTextIndentChar"/>
        </w:rPr>
        <w:t>i</w:t>
      </w:r>
      <w:r>
        <w:rPr>
          <w:rStyle w:val="JACoWBodyTextIndentChar"/>
        </w:rPr>
        <w:t xml:space="preserve">mize field emission.  And </w:t>
      </w:r>
      <w:r w:rsidR="002D7137">
        <w:rPr>
          <w:rStyle w:val="JACoWBodyTextIndentChar"/>
        </w:rPr>
        <w:t xml:space="preserve">finally, </w:t>
      </w:r>
      <w:r>
        <w:rPr>
          <w:rStyle w:val="JACoWBodyTextIndentChar"/>
        </w:rPr>
        <w:t>because high voltage is applied to the cathode electrode using a cable, an SF</w:t>
      </w:r>
      <w:r w:rsidRPr="00DC4A14">
        <w:rPr>
          <w:rStyle w:val="JACoWBodyTextIndentChar"/>
          <w:vertAlign w:val="subscript"/>
        </w:rPr>
        <w:t>6</w:t>
      </w:r>
      <w:r>
        <w:rPr>
          <w:rStyle w:val="JACoWBodyTextIndentChar"/>
        </w:rPr>
        <w:t xml:space="preserve"> tank is not required </w:t>
      </w:r>
      <w:r w:rsidR="002D7137">
        <w:rPr>
          <w:rStyle w:val="JACoWBodyTextIndentChar"/>
        </w:rPr>
        <w:t xml:space="preserve">at the photogun </w:t>
      </w:r>
      <w:r>
        <w:rPr>
          <w:rStyle w:val="JACoWBodyTextIndentChar"/>
        </w:rPr>
        <w:t>to suppress corona di</w:t>
      </w:r>
      <w:r>
        <w:rPr>
          <w:rStyle w:val="JACoWBodyTextIndentChar"/>
        </w:rPr>
        <w:t>s</w:t>
      </w:r>
      <w:r>
        <w:rPr>
          <w:rStyle w:val="JACoWBodyTextIndentChar"/>
        </w:rPr>
        <w:t xml:space="preserve">charge. </w:t>
      </w:r>
    </w:p>
    <w:p w:rsidR="00566E47" w:rsidRDefault="00566E47" w:rsidP="00D162A1">
      <w:pPr>
        <w:pStyle w:val="BodyTextIndent"/>
        <w:rPr>
          <w:rStyle w:val="JACoWBodyTextIndentChar"/>
        </w:rPr>
      </w:pPr>
      <w:r>
        <w:rPr>
          <w:rStyle w:val="JACoWBodyTextIndentChar"/>
        </w:rPr>
        <w:t xml:space="preserve">  </w:t>
      </w:r>
    </w:p>
    <w:p w:rsidR="00D162A1" w:rsidRDefault="002D7137" w:rsidP="00105A2E">
      <w:pPr>
        <w:pStyle w:val="BodyTextIndent"/>
        <w:rPr>
          <w:kern w:val="16"/>
        </w:rPr>
      </w:pPr>
      <w:r>
        <w:rPr>
          <w:rStyle w:val="JACoWBodyTextIndentChar"/>
        </w:rPr>
        <w:t xml:space="preserve">The photogun is a </w:t>
      </w:r>
      <w:r w:rsidR="00C47112">
        <w:rPr>
          <w:rStyle w:val="JACoWBodyTextIndentChar"/>
        </w:rPr>
        <w:t>larger</w:t>
      </w:r>
      <w:r>
        <w:rPr>
          <w:rStyle w:val="JACoWBodyTextIndentChar"/>
        </w:rPr>
        <w:t xml:space="preserve"> version of the -130 kV ph</w:t>
      </w:r>
      <w:r>
        <w:rPr>
          <w:rStyle w:val="JACoWBodyTextIndentChar"/>
        </w:rPr>
        <w:t>o</w:t>
      </w:r>
      <w:r>
        <w:rPr>
          <w:rStyle w:val="JACoWBodyTextIndentChar"/>
        </w:rPr>
        <w:t xml:space="preserve">togun operated at CEBAF </w:t>
      </w:r>
      <w:r w:rsidR="00413386">
        <w:rPr>
          <w:rStyle w:val="JACoWBodyTextIndentChar"/>
        </w:rPr>
        <w:t xml:space="preserve">and </w:t>
      </w:r>
      <w:r w:rsidR="00DD75DE">
        <w:rPr>
          <w:rStyle w:val="JACoWBodyTextIndentChar"/>
        </w:rPr>
        <w:t xml:space="preserve">used </w:t>
      </w:r>
      <w:r>
        <w:rPr>
          <w:rStyle w:val="JACoWBodyTextIndentChar"/>
        </w:rPr>
        <w:t>to provide spin-polarized electron beams [</w:t>
      </w:r>
      <w:r w:rsidR="00360C3F">
        <w:rPr>
          <w:rStyle w:val="JACoWBodyTextIndentChar"/>
        </w:rPr>
        <w:t>4</w:t>
      </w:r>
      <w:r>
        <w:rPr>
          <w:rStyle w:val="JACoWBodyTextIndentChar"/>
        </w:rPr>
        <w:t>]</w:t>
      </w:r>
      <w:r w:rsidR="00413386">
        <w:rPr>
          <w:rStyle w:val="JACoWBodyTextIndentChar"/>
        </w:rPr>
        <w:t xml:space="preserve"> (Figure 1)</w:t>
      </w:r>
      <w:r>
        <w:rPr>
          <w:rStyle w:val="JACoWBodyTextIndentChar"/>
        </w:rPr>
        <w:t xml:space="preserve">. The new gun employs a longer tapered insulator with </w:t>
      </w:r>
      <w:r w:rsidR="00BC452D">
        <w:rPr>
          <w:rStyle w:val="JACoWBodyTextIndentChar"/>
        </w:rPr>
        <w:t>vendor-</w:t>
      </w:r>
      <w:r>
        <w:rPr>
          <w:rStyle w:val="JACoWBodyTextIndentChar"/>
        </w:rPr>
        <w:t>proprietary dopant that provides a small amount of co</w:t>
      </w:r>
      <w:r>
        <w:rPr>
          <w:rStyle w:val="JACoWBodyTextIndentChar"/>
        </w:rPr>
        <w:t>n</w:t>
      </w:r>
      <w:r>
        <w:rPr>
          <w:rStyle w:val="JACoWBodyTextIndentChar"/>
        </w:rPr>
        <w:t>ductivity, with the intended purpose of draining away accumulated charge.  Another key difference is the sphe</w:t>
      </w:r>
      <w:r>
        <w:rPr>
          <w:rStyle w:val="JACoWBodyTextIndentChar"/>
        </w:rPr>
        <w:t>r</w:t>
      </w:r>
      <w:r>
        <w:rPr>
          <w:rStyle w:val="JACoWBodyTextIndentChar"/>
        </w:rPr>
        <w:t xml:space="preserve">ical cathode electrode with specially designed </w:t>
      </w:r>
      <w:r w:rsidR="00105A2E">
        <w:rPr>
          <w:rStyle w:val="JACoWBodyTextIndentChar"/>
        </w:rPr>
        <w:t>screening electrode that reduces the field strength at the triple-point-junction where arcing is thought to originate.  The scree</w:t>
      </w:r>
      <w:r w:rsidR="00105A2E">
        <w:rPr>
          <w:rStyle w:val="JACoWBodyTextIndentChar"/>
        </w:rPr>
        <w:t>n</w:t>
      </w:r>
      <w:r w:rsidR="00105A2E">
        <w:rPr>
          <w:rStyle w:val="JACoWBodyTextIndentChar"/>
        </w:rPr>
        <w:t>ing electrode also serves to linearize the potential across the length of the insulator, as described below.  The cat</w:t>
      </w:r>
      <w:r w:rsidR="00105A2E">
        <w:rPr>
          <w:rStyle w:val="JACoWBodyTextIndentChar"/>
        </w:rPr>
        <w:t>h</w:t>
      </w:r>
      <w:r w:rsidR="00105A2E">
        <w:rPr>
          <w:rStyle w:val="JACoWBodyTextIndentChar"/>
        </w:rPr>
        <w:t xml:space="preserve">ode electrode – composed of </w:t>
      </w:r>
      <w:r w:rsidR="00C47112">
        <w:rPr>
          <w:rStyle w:val="JACoWBodyTextIndentChar"/>
        </w:rPr>
        <w:t>spherical</w:t>
      </w:r>
      <w:r w:rsidR="00105A2E">
        <w:rPr>
          <w:rStyle w:val="JACoWBodyTextIndentChar"/>
        </w:rPr>
        <w:t xml:space="preserve"> body and scree</w:t>
      </w:r>
      <w:r w:rsidR="00105A2E">
        <w:rPr>
          <w:rStyle w:val="JACoWBodyTextIndentChar"/>
        </w:rPr>
        <w:t>n</w:t>
      </w:r>
      <w:r w:rsidR="00105A2E">
        <w:rPr>
          <w:rStyle w:val="JACoWBodyTextIndentChar"/>
        </w:rPr>
        <w:lastRenderedPageBreak/>
        <w:t>ing electrode – was barrel polished to achieve a mirror-like surface finish using two types of abrasives, with total polis</w:t>
      </w:r>
      <w:r w:rsidR="00C3684C">
        <w:rPr>
          <w:rStyle w:val="JACoWBodyTextIndentChar"/>
        </w:rPr>
        <w:t>hing time of just one hour</w:t>
      </w:r>
      <w:r w:rsidR="00105A2E">
        <w:rPr>
          <w:rStyle w:val="JACoWBodyTextIndentChar"/>
        </w:rPr>
        <w:t xml:space="preserve">.    </w:t>
      </w:r>
    </w:p>
    <w:p w:rsidR="0037782A" w:rsidRDefault="0037782A" w:rsidP="00D162A1">
      <w:pPr>
        <w:pStyle w:val="BodyTextIndent"/>
        <w:rPr>
          <w:kern w:val="16"/>
        </w:rPr>
      </w:pPr>
    </w:p>
    <w:p w:rsidR="0037782A" w:rsidRDefault="00077E50" w:rsidP="00000A76">
      <w:pPr>
        <w:pStyle w:val="BodyTextIndent"/>
        <w:ind w:firstLine="0"/>
        <w:rPr>
          <w:kern w:val="16"/>
        </w:rPr>
      </w:pPr>
      <w:r>
        <w:rPr>
          <w:noProof/>
          <w:lang w:val="en-US" w:eastAsia="zh-CN"/>
        </w:rPr>
        <w:drawing>
          <wp:inline distT="0" distB="0" distL="0" distR="0" wp14:anchorId="705A26F0" wp14:editId="4D94C756">
            <wp:extent cx="2876753" cy="1441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76753" cy="1441450"/>
                    </a:xfrm>
                    <a:prstGeom prst="rect">
                      <a:avLst/>
                    </a:prstGeom>
                  </pic:spPr>
                </pic:pic>
              </a:graphicData>
            </a:graphic>
          </wp:inline>
        </w:drawing>
      </w:r>
    </w:p>
    <w:p w:rsidR="0037782A" w:rsidRDefault="0037782A" w:rsidP="00D162A1">
      <w:pPr>
        <w:pStyle w:val="BodyTextIndent"/>
        <w:rPr>
          <w:kern w:val="16"/>
        </w:rPr>
      </w:pPr>
    </w:p>
    <w:p w:rsidR="0037782A" w:rsidRDefault="0037782A" w:rsidP="00DB4537">
      <w:pPr>
        <w:pStyle w:val="BodyTextIndent"/>
        <w:ind w:firstLine="0"/>
      </w:pPr>
      <w:r w:rsidRPr="00000A76">
        <w:rPr>
          <w:kern w:val="16"/>
          <w:sz w:val="16"/>
          <w:szCs w:val="16"/>
        </w:rPr>
        <w:t xml:space="preserve">Figure 1: </w:t>
      </w:r>
      <w:r w:rsidR="00105A2E">
        <w:rPr>
          <w:kern w:val="16"/>
          <w:sz w:val="16"/>
          <w:szCs w:val="16"/>
        </w:rPr>
        <w:t>Jefferson Lab photoguns</w:t>
      </w:r>
      <w:r w:rsidR="00413386">
        <w:rPr>
          <w:kern w:val="16"/>
          <w:sz w:val="16"/>
          <w:szCs w:val="16"/>
        </w:rPr>
        <w:t xml:space="preserve"> with inverted-insulator designs; </w:t>
      </w:r>
      <w:r w:rsidRPr="00000A76">
        <w:rPr>
          <w:kern w:val="16"/>
          <w:sz w:val="16"/>
          <w:szCs w:val="16"/>
        </w:rPr>
        <w:t>(</w:t>
      </w:r>
      <w:r w:rsidR="00105A2E" w:rsidRPr="00000A76">
        <w:rPr>
          <w:kern w:val="16"/>
          <w:sz w:val="16"/>
          <w:szCs w:val="16"/>
        </w:rPr>
        <w:t>left</w:t>
      </w:r>
      <w:r w:rsidRPr="00000A76">
        <w:rPr>
          <w:kern w:val="16"/>
          <w:sz w:val="16"/>
          <w:szCs w:val="16"/>
        </w:rPr>
        <w:t xml:space="preserve">) </w:t>
      </w:r>
      <w:r w:rsidR="00105A2E" w:rsidRPr="00000A76">
        <w:rPr>
          <w:kern w:val="16"/>
          <w:sz w:val="16"/>
          <w:szCs w:val="16"/>
        </w:rPr>
        <w:t>CEBAF -130 kV dc high voltage photogun</w:t>
      </w:r>
      <w:r w:rsidR="00413386">
        <w:rPr>
          <w:kern w:val="16"/>
          <w:sz w:val="16"/>
          <w:szCs w:val="16"/>
        </w:rPr>
        <w:t xml:space="preserve"> and,</w:t>
      </w:r>
      <w:r w:rsidRPr="00000A76">
        <w:rPr>
          <w:kern w:val="16"/>
          <w:sz w:val="16"/>
          <w:szCs w:val="16"/>
        </w:rPr>
        <w:t xml:space="preserve"> (</w:t>
      </w:r>
      <w:r w:rsidR="00105A2E" w:rsidRPr="00000A76">
        <w:rPr>
          <w:kern w:val="16"/>
          <w:sz w:val="16"/>
          <w:szCs w:val="16"/>
        </w:rPr>
        <w:t>right</w:t>
      </w:r>
      <w:r w:rsidRPr="00000A76">
        <w:rPr>
          <w:kern w:val="16"/>
          <w:sz w:val="16"/>
          <w:szCs w:val="16"/>
        </w:rPr>
        <w:t xml:space="preserve">) </w:t>
      </w:r>
      <w:r w:rsidR="00413386">
        <w:rPr>
          <w:kern w:val="16"/>
          <w:sz w:val="16"/>
          <w:szCs w:val="16"/>
        </w:rPr>
        <w:t xml:space="preserve">the </w:t>
      </w:r>
      <w:r w:rsidR="00105A2E">
        <w:rPr>
          <w:kern w:val="16"/>
          <w:sz w:val="16"/>
          <w:szCs w:val="16"/>
        </w:rPr>
        <w:t>-300 kV dc high voltage photogun</w:t>
      </w:r>
      <w:r w:rsidRPr="00000A76">
        <w:rPr>
          <w:kern w:val="16"/>
          <w:sz w:val="16"/>
          <w:szCs w:val="16"/>
        </w:rPr>
        <w:t xml:space="preserve"> </w:t>
      </w:r>
      <w:r w:rsidR="00413386">
        <w:rPr>
          <w:kern w:val="16"/>
          <w:sz w:val="16"/>
          <w:szCs w:val="16"/>
        </w:rPr>
        <w:t>described here.</w:t>
      </w:r>
    </w:p>
    <w:p w:rsidR="0037782A" w:rsidRPr="0037782A" w:rsidRDefault="00413386" w:rsidP="00000A76">
      <w:pPr>
        <w:pStyle w:val="JACoWSectionHeading"/>
        <w:rPr>
          <w:szCs w:val="20"/>
        </w:rPr>
      </w:pPr>
      <w:r>
        <w:t xml:space="preserve">Cathode </w:t>
      </w:r>
      <w:r w:rsidR="0028182F">
        <w:t>Electrode</w:t>
      </w:r>
    </w:p>
    <w:p w:rsidR="00D90B82" w:rsidRDefault="00BB50DE" w:rsidP="00DC4A14">
      <w:pPr>
        <w:ind w:firstLine="270"/>
        <w:jc w:val="both"/>
      </w:pPr>
      <w:r>
        <w:t>Field emission and high voltage breakdown are often the chief limiting factors related to reliable dc high vol</w:t>
      </w:r>
      <w:r>
        <w:t>t</w:t>
      </w:r>
      <w:r>
        <w:t>age photogun operation, at least when bias voltages e</w:t>
      </w:r>
      <w:r>
        <w:t>x</w:t>
      </w:r>
      <w:r>
        <w:t xml:space="preserve">ceed ~ </w:t>
      </w:r>
      <w:r w:rsidR="00C47112">
        <w:t>-</w:t>
      </w:r>
      <w:r>
        <w:t xml:space="preserve">100 kV.  </w:t>
      </w:r>
      <w:r w:rsidR="0028182F">
        <w:t xml:space="preserve">Electrostatic field maps were obtained </w:t>
      </w:r>
      <w:r w:rsidR="0028182F" w:rsidRPr="00AF4E2A">
        <w:t>using the Poisson Superfish electrostatic solver</w:t>
      </w:r>
      <w:r w:rsidR="00413386">
        <w:t xml:space="preserve"> [</w:t>
      </w:r>
      <w:r w:rsidR="00360C3F">
        <w:t>5</w:t>
      </w:r>
      <w:r w:rsidR="00413386">
        <w:t>]</w:t>
      </w:r>
      <w:r w:rsidR="0028182F">
        <w:t>. Iter</w:t>
      </w:r>
      <w:r w:rsidR="0028182F">
        <w:t>a</w:t>
      </w:r>
      <w:r w:rsidR="0028182F">
        <w:t>tive adjustments to the electrostatic model served to opt</w:t>
      </w:r>
      <w:r w:rsidR="0028182F">
        <w:t>i</w:t>
      </w:r>
      <w:r w:rsidR="0028182F">
        <w:t>mize the diameter of the cathode electrode within the gun chamber, set the cathode-anode gap, and to refine the shape of the triple-point</w:t>
      </w:r>
      <w:r>
        <w:t>-</w:t>
      </w:r>
      <w:r w:rsidR="0028182F">
        <w:t xml:space="preserve">junction shield with </w:t>
      </w:r>
      <w:r>
        <w:t xml:space="preserve">the </w:t>
      </w:r>
      <w:r w:rsidR="0028182F">
        <w:t>goal of keeping the electric field strength less than ~ 10 MV/m at -350</w:t>
      </w:r>
      <w:r w:rsidR="00FF5BC3">
        <w:t xml:space="preserve"> </w:t>
      </w:r>
      <w:r w:rsidR="0028182F">
        <w:t>kV bias voltage.</w:t>
      </w:r>
      <w:r>
        <w:t xml:space="preserve"> This led to a cathode/anode spacing of 9 cm and the contour of the </w:t>
      </w:r>
      <w:r w:rsidR="00BC452D">
        <w:t xml:space="preserve">shield </w:t>
      </w:r>
      <w:r>
        <w:t xml:space="preserve">electrode as shown in Figure 2.  The following considerations were given to the </w:t>
      </w:r>
      <w:r w:rsidR="00BC452D">
        <w:t xml:space="preserve">shield </w:t>
      </w:r>
      <w:r>
        <w:t xml:space="preserve">electrode design: </w:t>
      </w:r>
    </w:p>
    <w:p w:rsidR="001C7798" w:rsidRDefault="001C7798" w:rsidP="00DC4A14">
      <w:pPr>
        <w:ind w:firstLine="270"/>
        <w:jc w:val="both"/>
      </w:pPr>
    </w:p>
    <w:p w:rsidR="0028182F" w:rsidRDefault="001C7798" w:rsidP="00DC4A14">
      <w:pPr>
        <w:pStyle w:val="ListParagraph"/>
        <w:numPr>
          <w:ilvl w:val="0"/>
          <w:numId w:val="24"/>
        </w:numPr>
        <w:ind w:left="360" w:hanging="270"/>
        <w:jc w:val="both"/>
      </w:pPr>
      <w:r>
        <w:t>T</w:t>
      </w:r>
      <w:r w:rsidR="0028182F">
        <w:t xml:space="preserve">he </w:t>
      </w:r>
      <w:r>
        <w:t xml:space="preserve">distance between the insulator surface and the </w:t>
      </w:r>
      <w:r w:rsidR="00BC452D">
        <w:t xml:space="preserve">shield </w:t>
      </w:r>
      <w:r>
        <w:t xml:space="preserve">electrode, </w:t>
      </w:r>
      <w:r w:rsidR="0028182F">
        <w:t xml:space="preserve">and the contour </w:t>
      </w:r>
      <w:r>
        <w:t xml:space="preserve">of the </w:t>
      </w:r>
      <w:r w:rsidR="00BC452D">
        <w:t xml:space="preserve">shield </w:t>
      </w:r>
      <w:r>
        <w:t>ele</w:t>
      </w:r>
      <w:r>
        <w:t>c</w:t>
      </w:r>
      <w:r>
        <w:t xml:space="preserve">trode </w:t>
      </w:r>
      <w:r w:rsidR="0028182F">
        <w:t>near the triple-point junction</w:t>
      </w:r>
      <w:r>
        <w:t>, w</w:t>
      </w:r>
      <w:r w:rsidR="00C47112">
        <w:t>ere</w:t>
      </w:r>
      <w:r>
        <w:t xml:space="preserve"> adjusted</w:t>
      </w:r>
      <w:r w:rsidR="0028182F">
        <w:t xml:space="preserve"> to m</w:t>
      </w:r>
      <w:r w:rsidR="0028182F" w:rsidRPr="008620D2">
        <w:t>inimize the electric field</w:t>
      </w:r>
      <w:r w:rsidR="0028182F">
        <w:t xml:space="preserve"> strength</w:t>
      </w:r>
      <w:r w:rsidR="0028182F" w:rsidRPr="008620D2">
        <w:t xml:space="preserve"> both parallel and perpendicular to the surface of the insulator</w:t>
      </w:r>
      <w:r>
        <w:t xml:space="preserve">. </w:t>
      </w:r>
      <w:r w:rsidR="0028182F" w:rsidRPr="008620D2">
        <w:t>Field-emitted electrons from the triple-</w:t>
      </w:r>
      <w:r w:rsidR="0028182F">
        <w:t xml:space="preserve">point </w:t>
      </w:r>
      <w:r w:rsidR="0028182F" w:rsidRPr="008620D2">
        <w:t>junction can initiate pre-breakdown currents that often lead to ar</w:t>
      </w:r>
      <w:r w:rsidR="0028182F" w:rsidRPr="008620D2">
        <w:t>c</w:t>
      </w:r>
      <w:r w:rsidR="0028182F" w:rsidRPr="008620D2">
        <w:t xml:space="preserve">ing along </w:t>
      </w:r>
      <w:r w:rsidR="0028182F">
        <w:t xml:space="preserve">the </w:t>
      </w:r>
      <w:r w:rsidR="0028182F" w:rsidRPr="008620D2">
        <w:t>ceramic insulator at the cable-plug i</w:t>
      </w:r>
      <w:r w:rsidR="0028182F" w:rsidRPr="008620D2">
        <w:t>n</w:t>
      </w:r>
      <w:r w:rsidR="0028182F" w:rsidRPr="008620D2">
        <w:t xml:space="preserve">terface. </w:t>
      </w:r>
    </w:p>
    <w:p w:rsidR="0028182F" w:rsidRDefault="001C7798" w:rsidP="00DC4A14">
      <w:pPr>
        <w:pStyle w:val="ListParagraph"/>
        <w:numPr>
          <w:ilvl w:val="0"/>
          <w:numId w:val="24"/>
        </w:numPr>
        <w:ind w:left="360" w:hanging="270"/>
        <w:jc w:val="both"/>
      </w:pPr>
      <w:r>
        <w:t>The</w:t>
      </w:r>
      <w:r w:rsidR="0028182F">
        <w:t xml:space="preserve"> height </w:t>
      </w:r>
      <w:r w:rsidR="00C47112">
        <w:t xml:space="preserve">and radius </w:t>
      </w:r>
      <w:r w:rsidR="0028182F">
        <w:t>of the</w:t>
      </w:r>
      <w:r w:rsidR="0028182F" w:rsidRPr="008620D2">
        <w:t xml:space="preserve"> </w:t>
      </w:r>
      <w:r w:rsidR="0028182F">
        <w:t>triple-point</w:t>
      </w:r>
      <w:r w:rsidR="00C47112">
        <w:t>-</w:t>
      </w:r>
      <w:r w:rsidR="0028182F">
        <w:t xml:space="preserve">junction shield </w:t>
      </w:r>
      <w:r w:rsidR="00C47112">
        <w:t xml:space="preserve">at the “cusp” </w:t>
      </w:r>
      <w:r w:rsidR="00BC452D">
        <w:t xml:space="preserve">were </w:t>
      </w:r>
      <w:r>
        <w:t xml:space="preserve">adjusted </w:t>
      </w:r>
      <w:r w:rsidR="0028182F">
        <w:t>to</w:t>
      </w:r>
      <w:r w:rsidR="0028182F" w:rsidRPr="008620D2">
        <w:t xml:space="preserve"> minimiz</w:t>
      </w:r>
      <w:r w:rsidR="0028182F">
        <w:t>e</w:t>
      </w:r>
      <w:r w:rsidR="0028182F" w:rsidRPr="008620D2">
        <w:t xml:space="preserve"> the </w:t>
      </w:r>
      <w:r w:rsidR="0028182F">
        <w:t>electric field</w:t>
      </w:r>
      <w:r w:rsidR="0028182F" w:rsidRPr="008620D2">
        <w:t xml:space="preserve"> at the triple</w:t>
      </w:r>
      <w:r w:rsidR="00BC452D">
        <w:t xml:space="preserve">-point </w:t>
      </w:r>
      <w:r w:rsidR="0028182F" w:rsidRPr="008620D2">
        <w:t xml:space="preserve">junction </w:t>
      </w:r>
      <w:r w:rsidR="0028182F">
        <w:t>while</w:t>
      </w:r>
      <w:r w:rsidR="0028182F" w:rsidRPr="008620D2">
        <w:t xml:space="preserve"> kee</w:t>
      </w:r>
      <w:r w:rsidR="0028182F" w:rsidRPr="008620D2">
        <w:t>p</w:t>
      </w:r>
      <w:r w:rsidR="0028182F" w:rsidRPr="008620D2">
        <w:t xml:space="preserve">ing the </w:t>
      </w:r>
      <w:r w:rsidR="0028182F" w:rsidRPr="00162CB7">
        <w:t xml:space="preserve">contour </w:t>
      </w:r>
      <w:r w:rsidR="0028182F">
        <w:t>field strength</w:t>
      </w:r>
      <w:r w:rsidR="0028182F" w:rsidRPr="008620D2">
        <w:t xml:space="preserve"> </w:t>
      </w:r>
      <w:r w:rsidR="0028182F">
        <w:t>less than</w:t>
      </w:r>
      <w:r w:rsidR="0028182F" w:rsidRPr="008620D2">
        <w:t xml:space="preserve"> 10 MV/m at </w:t>
      </w:r>
      <w:r>
        <w:t>-</w:t>
      </w:r>
      <w:r w:rsidR="0028182F" w:rsidRPr="008620D2">
        <w:t>350</w:t>
      </w:r>
      <w:r w:rsidR="00FF5BC3">
        <w:t xml:space="preserve"> </w:t>
      </w:r>
      <w:r w:rsidR="0028182F" w:rsidRPr="008620D2">
        <w:t xml:space="preserve">kV. </w:t>
      </w:r>
      <w:r w:rsidR="0028182F">
        <w:t>T</w:t>
      </w:r>
      <w:r w:rsidR="0028182F" w:rsidRPr="008620D2">
        <w:t xml:space="preserve">he </w:t>
      </w:r>
      <w:r w:rsidR="0028182F">
        <w:t xml:space="preserve">height of the triple-point junction shield </w:t>
      </w:r>
      <w:r w:rsidR="0028182F" w:rsidRPr="008620D2">
        <w:lastRenderedPageBreak/>
        <w:t>influences the potential along the insulator</w:t>
      </w:r>
      <w:r w:rsidR="0028182F">
        <w:t>, especially at</w:t>
      </w:r>
      <w:r w:rsidR="0028182F" w:rsidRPr="008620D2">
        <w:t xml:space="preserve"> the insulator-</w:t>
      </w:r>
      <w:r w:rsidR="0028182F">
        <w:t xml:space="preserve">high voltage </w:t>
      </w:r>
      <w:r w:rsidR="0028182F" w:rsidRPr="008620D2">
        <w:t xml:space="preserve">plug interface. A </w:t>
      </w:r>
      <w:r w:rsidR="0028182F">
        <w:t>“taller”</w:t>
      </w:r>
      <w:r w:rsidR="0028182F" w:rsidRPr="008620D2">
        <w:t xml:space="preserve"> </w:t>
      </w:r>
      <w:r w:rsidR="0028182F">
        <w:t xml:space="preserve">triple-point junction shield </w:t>
      </w:r>
      <w:r w:rsidR="0028182F" w:rsidRPr="008620D2">
        <w:t xml:space="preserve">will </w:t>
      </w:r>
      <w:r w:rsidR="0028182F">
        <w:t>create a more linear</w:t>
      </w:r>
      <w:r w:rsidR="0028182F" w:rsidRPr="008620D2">
        <w:t xml:space="preserve"> potential </w:t>
      </w:r>
      <w:r w:rsidR="0028182F">
        <w:t>gradient</w:t>
      </w:r>
      <w:r w:rsidR="0028182F" w:rsidRPr="008620D2">
        <w:t xml:space="preserve">, but it will increase the </w:t>
      </w:r>
      <w:r w:rsidR="0028182F">
        <w:t>field strength</w:t>
      </w:r>
      <w:r w:rsidR="0028182F" w:rsidRPr="008620D2">
        <w:t xml:space="preserve"> </w:t>
      </w:r>
      <w:r w:rsidR="0028182F">
        <w:t>at the</w:t>
      </w:r>
      <w:r w:rsidR="0028182F" w:rsidRPr="008620D2">
        <w:t xml:space="preserve"> </w:t>
      </w:r>
      <w:r w:rsidR="0028182F">
        <w:t>top</w:t>
      </w:r>
      <w:r w:rsidR="0028182F" w:rsidRPr="008620D2">
        <w:t xml:space="preserve"> </w:t>
      </w:r>
      <w:r w:rsidR="0028182F">
        <w:t>because it has moved</w:t>
      </w:r>
      <w:r w:rsidR="0028182F" w:rsidRPr="008620D2">
        <w:t xml:space="preserve"> closer to t</w:t>
      </w:r>
      <w:r w:rsidR="0028182F">
        <w:t>he</w:t>
      </w:r>
      <w:r w:rsidR="0028182F" w:rsidRPr="008620D2">
        <w:t xml:space="preserve"> </w:t>
      </w:r>
      <w:r w:rsidR="00BC452D">
        <w:t xml:space="preserve">grounded </w:t>
      </w:r>
      <w:r w:rsidR="0028182F" w:rsidRPr="008620D2">
        <w:t>vacuum chamber</w:t>
      </w:r>
      <w:r w:rsidR="0028182F">
        <w:t xml:space="preserve"> wall. </w:t>
      </w:r>
    </w:p>
    <w:p w:rsidR="00C47112" w:rsidRDefault="001C7798" w:rsidP="00DC4A14">
      <w:pPr>
        <w:pStyle w:val="ListParagraph"/>
        <w:numPr>
          <w:ilvl w:val="0"/>
          <w:numId w:val="24"/>
        </w:numPr>
        <w:ind w:left="360" w:hanging="270"/>
        <w:jc w:val="both"/>
      </w:pPr>
      <w:r>
        <w:t>T</w:t>
      </w:r>
      <w:r w:rsidR="0028182F" w:rsidRPr="0028182F">
        <w:t>he outermost radius of the triple-point junction shield</w:t>
      </w:r>
      <w:r>
        <w:t xml:space="preserve"> was adjusted to </w:t>
      </w:r>
      <w:r w:rsidR="0028182F" w:rsidRPr="0028182F">
        <w:t>maintain a radius smaller than the spherical electrode radius, in order to minimize distortions to the radial and longitudinal electric field within the anode-cathode gap.</w:t>
      </w:r>
    </w:p>
    <w:p w:rsidR="00D90B82" w:rsidRDefault="00D90B82" w:rsidP="00DC4A14">
      <w:pPr>
        <w:pStyle w:val="ListParagraph"/>
        <w:ind w:left="360"/>
        <w:jc w:val="both"/>
      </w:pPr>
    </w:p>
    <w:p w:rsidR="00DB4537" w:rsidRDefault="00D90B82" w:rsidP="00DB4537">
      <w:pPr>
        <w:ind w:left="90" w:firstLine="97"/>
        <w:jc w:val="both"/>
        <w:rPr>
          <w:noProof/>
          <w:lang w:val="en-US"/>
        </w:rPr>
      </w:pPr>
      <w:r>
        <w:t xml:space="preserve">Ideally, the potential along the length of the insulator should vary uniformly, to avoid exposing regions of the insulator to large field strengths, particularly near the triple-point junction.  </w:t>
      </w:r>
      <w:r w:rsidR="00C47112">
        <w:t xml:space="preserve">The plot in </w:t>
      </w:r>
      <w:r w:rsidR="00BC452D">
        <w:t xml:space="preserve">Figure 2 </w:t>
      </w:r>
      <w:r w:rsidR="00C47112">
        <w:t>shows the net result of this electrostatic design</w:t>
      </w:r>
      <w:r w:rsidR="004378A6">
        <w:t xml:space="preserve"> and the benefit of the shield electrode</w:t>
      </w:r>
      <w:r w:rsidR="00C47112">
        <w:t xml:space="preserve">, </w:t>
      </w:r>
      <w:r w:rsidR="004378A6">
        <w:t>providing a significantly more</w:t>
      </w:r>
      <w:r w:rsidR="00C47112">
        <w:t xml:space="preserve"> uniform potential drop across the insulator</w:t>
      </w:r>
      <w:r>
        <w:t>.</w:t>
      </w:r>
      <w:r w:rsidR="00DB4537" w:rsidRPr="00DB4537">
        <w:rPr>
          <w:noProof/>
          <w:lang w:val="en-US"/>
        </w:rPr>
        <w:t xml:space="preserve"> </w:t>
      </w:r>
    </w:p>
    <w:p w:rsidR="00DB4537" w:rsidRDefault="00DB4537" w:rsidP="00DB4537">
      <w:pPr>
        <w:ind w:left="90" w:firstLine="97"/>
        <w:jc w:val="both"/>
        <w:rPr>
          <w:noProof/>
          <w:lang w:val="en-US"/>
        </w:rPr>
      </w:pPr>
    </w:p>
    <w:p w:rsidR="00C47112" w:rsidRDefault="00DB4537" w:rsidP="00DB4537">
      <w:pPr>
        <w:ind w:left="90"/>
        <w:jc w:val="both"/>
      </w:pPr>
      <w:r>
        <w:rPr>
          <w:noProof/>
          <w:lang w:val="en-US" w:eastAsia="zh-CN"/>
        </w:rPr>
        <w:drawing>
          <wp:inline distT="0" distB="0" distL="0" distR="0" wp14:anchorId="1E348785" wp14:editId="05701DF3">
            <wp:extent cx="2855397" cy="11998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55976" cy="1200058"/>
                    </a:xfrm>
                    <a:prstGeom prst="rect">
                      <a:avLst/>
                    </a:prstGeom>
                  </pic:spPr>
                </pic:pic>
              </a:graphicData>
            </a:graphic>
          </wp:inline>
        </w:drawing>
      </w:r>
      <w:r w:rsidR="00762FC3" w:rsidRPr="00000A76">
        <w:rPr>
          <w:sz w:val="16"/>
          <w:szCs w:val="16"/>
        </w:rPr>
        <w:t xml:space="preserve">Figure </w:t>
      </w:r>
      <w:r w:rsidR="00BB50DE">
        <w:rPr>
          <w:sz w:val="16"/>
          <w:szCs w:val="16"/>
        </w:rPr>
        <w:t>2</w:t>
      </w:r>
      <w:r w:rsidR="00762FC3" w:rsidRPr="00000A76">
        <w:rPr>
          <w:sz w:val="16"/>
          <w:szCs w:val="16"/>
        </w:rPr>
        <w:t>: POISSON simulated electric field</w:t>
      </w:r>
      <w:r w:rsidR="0037782A" w:rsidRPr="00000A76">
        <w:rPr>
          <w:sz w:val="16"/>
          <w:szCs w:val="16"/>
        </w:rPr>
        <w:t xml:space="preserve"> inside </w:t>
      </w:r>
      <w:r>
        <w:rPr>
          <w:sz w:val="16"/>
          <w:szCs w:val="16"/>
        </w:rPr>
        <w:t>the photogun cha</w:t>
      </w:r>
      <w:r>
        <w:rPr>
          <w:sz w:val="16"/>
          <w:szCs w:val="16"/>
        </w:rPr>
        <w:t>m</w:t>
      </w:r>
      <w:r>
        <w:rPr>
          <w:sz w:val="16"/>
          <w:szCs w:val="16"/>
        </w:rPr>
        <w:t xml:space="preserve">ber with and without the shield electrode, </w:t>
      </w:r>
      <w:r w:rsidR="0037782A" w:rsidRPr="00000A76">
        <w:rPr>
          <w:sz w:val="16"/>
          <w:szCs w:val="16"/>
        </w:rPr>
        <w:t xml:space="preserve">and </w:t>
      </w:r>
      <w:r w:rsidR="00D90B82">
        <w:rPr>
          <w:sz w:val="16"/>
          <w:szCs w:val="16"/>
        </w:rPr>
        <w:t xml:space="preserve">the </w:t>
      </w:r>
      <w:r w:rsidR="0037782A" w:rsidRPr="00000A76">
        <w:rPr>
          <w:sz w:val="16"/>
          <w:szCs w:val="16"/>
        </w:rPr>
        <w:t>potential along</w:t>
      </w:r>
      <w:r w:rsidR="00D90B82">
        <w:rPr>
          <w:sz w:val="16"/>
          <w:szCs w:val="16"/>
        </w:rPr>
        <w:t xml:space="preserve"> the length of the</w:t>
      </w:r>
      <w:r w:rsidR="0037782A" w:rsidRPr="00000A76">
        <w:rPr>
          <w:sz w:val="16"/>
          <w:szCs w:val="16"/>
        </w:rPr>
        <w:t xml:space="preserve"> insulator surface.</w:t>
      </w:r>
    </w:p>
    <w:p w:rsidR="001C7798" w:rsidRPr="0037782A" w:rsidRDefault="001C7798" w:rsidP="001C7798">
      <w:pPr>
        <w:pStyle w:val="JACoWSectionHeading"/>
        <w:rPr>
          <w:szCs w:val="20"/>
        </w:rPr>
      </w:pPr>
      <w:r>
        <w:t>Gun High Voltage Conditioning</w:t>
      </w:r>
    </w:p>
    <w:p w:rsidR="0028182F" w:rsidRDefault="0028182F" w:rsidP="00DC4A14">
      <w:pPr>
        <w:ind w:firstLine="180"/>
        <w:jc w:val="both"/>
      </w:pPr>
      <w:r>
        <w:t xml:space="preserve">The purpose of high voltage conditioning is to </w:t>
      </w:r>
      <w:r w:rsidR="00D90B82">
        <w:t>elim</w:t>
      </w:r>
      <w:r w:rsidR="00D90B82">
        <w:t>i</w:t>
      </w:r>
      <w:r w:rsidR="00D90B82">
        <w:t>nate</w:t>
      </w:r>
      <w:r>
        <w:t xml:space="preserve"> field emission when biased at the desired operating voltage</w:t>
      </w:r>
      <w:r w:rsidR="001C7798">
        <w:t xml:space="preserve">. </w:t>
      </w:r>
      <w:r>
        <w:t xml:space="preserve">The photogun was connected to a </w:t>
      </w:r>
      <w:r w:rsidR="001C7798">
        <w:t>-</w:t>
      </w:r>
      <w:r>
        <w:t>500</w:t>
      </w:r>
      <w:r w:rsidR="001C7798">
        <w:t xml:space="preserve"> </w:t>
      </w:r>
      <w:r>
        <w:t>kV dc Cockcroft-Walton SF</w:t>
      </w:r>
      <w:r w:rsidRPr="00E2132C">
        <w:rPr>
          <w:vertAlign w:val="subscript"/>
        </w:rPr>
        <w:t>6</w:t>
      </w:r>
      <w:r>
        <w:t xml:space="preserve"> gas–insulated high voltage power supply (HVPS), with a 300 MΩ conditioning resistor in series.  Male-type cable connectors fit precisely into the conical inverted insulator on the photogun, and into a plastic receptacle supporting the conditioning resistor inside the HVPS SF</w:t>
      </w:r>
      <w:r w:rsidRPr="00E2132C">
        <w:rPr>
          <w:vertAlign w:val="subscript"/>
        </w:rPr>
        <w:t>6</w:t>
      </w:r>
      <w:r>
        <w:t xml:space="preserve"> tank.  The ceramic insulator, plastic receptacle and the high voltage cable are industry-standard components with dimensions specified by the commercial designation “R30”.   </w:t>
      </w:r>
    </w:p>
    <w:p w:rsidR="00322C2A" w:rsidRDefault="00322C2A" w:rsidP="00DC4A14">
      <w:pPr>
        <w:ind w:firstLine="180"/>
        <w:jc w:val="both"/>
      </w:pPr>
    </w:p>
    <w:p w:rsidR="003F68C7" w:rsidRDefault="003F68C7" w:rsidP="00F26A90">
      <w:pPr>
        <w:ind w:firstLine="180"/>
        <w:jc w:val="both"/>
      </w:pPr>
      <w:r>
        <w:t>Initially, voltage was applied to the cathode under va</w:t>
      </w:r>
      <w:r>
        <w:t>c</w:t>
      </w:r>
      <w:r>
        <w:t>uum conditions (~3x10</w:t>
      </w:r>
      <w:r w:rsidRPr="00E56F93">
        <w:rPr>
          <w:vertAlign w:val="superscript"/>
        </w:rPr>
        <w:t>-11</w:t>
      </w:r>
      <w:r>
        <w:t xml:space="preserve"> Torr) at a rate of 10 kV/min up to 200</w:t>
      </w:r>
      <w:r w:rsidR="00FF5BC3">
        <w:t xml:space="preserve"> </w:t>
      </w:r>
      <w:r>
        <w:t>kV, and then in steps of 5 kV at a rate of 1 kV/min when the first vacuum disturbance was encoun</w:t>
      </w:r>
      <w:r w:rsidR="00D90B82">
        <w:t>tered</w:t>
      </w:r>
      <w:r>
        <w:t xml:space="preserve"> at </w:t>
      </w:r>
      <w:r w:rsidR="00FF5BC3">
        <w:t>–</w:t>
      </w:r>
      <w:r>
        <w:t xml:space="preserve"> 225</w:t>
      </w:r>
      <w:r w:rsidR="00FF5BC3">
        <w:t xml:space="preserve"> </w:t>
      </w:r>
      <w:r>
        <w:t>kV (~ 7 MV/m peak field) as shown by the green trace in Figure 3. The x-ray radiation signal tracks the vacuum activity, with both signals indicating the sign</w:t>
      </w:r>
      <w:r>
        <w:t>a</w:t>
      </w:r>
      <w:r>
        <w:t>ture of field emission. At this point, krypton gas was added to the photogun vacuum chamber at pressure ~ 5x10</w:t>
      </w:r>
      <w:r w:rsidRPr="000D0DA7">
        <w:rPr>
          <w:vertAlign w:val="superscript"/>
        </w:rPr>
        <w:t>-5</w:t>
      </w:r>
      <w:r>
        <w:t xml:space="preserve"> Torr, and then voltage was raised at a rate of 0.5 kV/min. Gas conditioning serves to eliminate stubborn field emitters through ion bombardment. Field emitted electrons ionize the gas resulting in localized sputtering of </w:t>
      </w:r>
      <w:r>
        <w:lastRenderedPageBreak/>
        <w:t>the emitter, and also suppressing field emission via ion implantation which serves to increase the local work function [</w:t>
      </w:r>
      <w:r w:rsidR="00360C3F">
        <w:t>6</w:t>
      </w:r>
      <w:r>
        <w:t xml:space="preserve">]. </w:t>
      </w:r>
    </w:p>
    <w:p w:rsidR="00322C2A" w:rsidRDefault="00322C2A" w:rsidP="00F26A90">
      <w:pPr>
        <w:ind w:firstLine="180"/>
        <w:jc w:val="both"/>
      </w:pPr>
    </w:p>
    <w:p w:rsidR="00EB5B86" w:rsidRDefault="003F68C7" w:rsidP="00F26A90">
      <w:pPr>
        <w:ind w:firstLine="180"/>
        <w:jc w:val="both"/>
      </w:pPr>
      <w:r>
        <w:t xml:space="preserve">High voltage conditioning </w:t>
      </w:r>
      <w:r w:rsidR="00EB5B86">
        <w:t xml:space="preserve">to -360 kV </w:t>
      </w:r>
      <w:r>
        <w:t>in the presence of krypton gas took approximate</w:t>
      </w:r>
      <w:r w:rsidR="00EB5B86">
        <w:t>ly 70 hours, with numer</w:t>
      </w:r>
      <w:r w:rsidR="00F26A90">
        <w:t>ous field emission sites</w:t>
      </w:r>
      <w:r w:rsidR="00EB5B86">
        <w:t xml:space="preserve"> </w:t>
      </w:r>
      <w:r w:rsidR="00BC452D">
        <w:t>eliminated</w:t>
      </w:r>
      <w:r w:rsidR="00EB5B86">
        <w:t>. At this point, the krypton gas was pumped away and voltage was re-a</w:t>
      </w:r>
      <w:r w:rsidR="00A96556">
        <w:t xml:space="preserve">pplied under </w:t>
      </w:r>
      <w:r w:rsidR="00F26A90">
        <w:t xml:space="preserve">ultrahigh </w:t>
      </w:r>
      <w:r w:rsidR="00A96556">
        <w:t xml:space="preserve">vacuum conditions. </w:t>
      </w:r>
      <w:r w:rsidR="00EB5B86">
        <w:t xml:space="preserve">The photogun was deemed conditioned at </w:t>
      </w:r>
      <w:r w:rsidR="00D90B82">
        <w:t>-</w:t>
      </w:r>
      <w:r w:rsidR="00EB5B86">
        <w:t>350 kV because radiation levels were indistinguishable from background levels.</w:t>
      </w:r>
      <w:r w:rsidR="00A96556">
        <w:t xml:space="preserve"> </w:t>
      </w:r>
      <w:r w:rsidR="00F26A90">
        <w:t>Although</w:t>
      </w:r>
      <w:r w:rsidR="00D90B82">
        <w:t xml:space="preserve"> co</w:t>
      </w:r>
      <w:r w:rsidR="00D90B82">
        <w:t>n</w:t>
      </w:r>
      <w:r w:rsidR="00D90B82">
        <w:t>ditioning to -350 kV, initial beam operations described here were performed at -300 kV.</w:t>
      </w:r>
    </w:p>
    <w:p w:rsidR="0028182F" w:rsidRDefault="0028182F" w:rsidP="0028182F">
      <w:pPr>
        <w:jc w:val="both"/>
      </w:pPr>
    </w:p>
    <w:p w:rsidR="0028182F" w:rsidRDefault="0028182F" w:rsidP="0028182F">
      <w:pPr>
        <w:jc w:val="both"/>
      </w:pPr>
      <w:r>
        <w:rPr>
          <w:noProof/>
          <w:lang w:val="en-US" w:eastAsia="zh-CN"/>
        </w:rPr>
        <w:drawing>
          <wp:inline distT="0" distB="0" distL="0" distR="0" wp14:anchorId="2F2B8733" wp14:editId="33EE7A3B">
            <wp:extent cx="2965450" cy="15176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68625" cy="1519275"/>
                    </a:xfrm>
                    <a:prstGeom prst="rect">
                      <a:avLst/>
                    </a:prstGeom>
                  </pic:spPr>
                </pic:pic>
              </a:graphicData>
            </a:graphic>
          </wp:inline>
        </w:drawing>
      </w:r>
    </w:p>
    <w:p w:rsidR="0028182F" w:rsidRPr="00DE737C" w:rsidRDefault="0028182F" w:rsidP="00DB4537">
      <w:pPr>
        <w:jc w:val="both"/>
        <w:rPr>
          <w:szCs w:val="20"/>
        </w:rPr>
      </w:pPr>
      <w:r w:rsidRPr="00DC4A14">
        <w:rPr>
          <w:sz w:val="16"/>
          <w:szCs w:val="16"/>
        </w:rPr>
        <w:t>F</w:t>
      </w:r>
      <w:r w:rsidR="00EB5B86">
        <w:rPr>
          <w:sz w:val="16"/>
          <w:szCs w:val="16"/>
        </w:rPr>
        <w:t>igure</w:t>
      </w:r>
      <w:r w:rsidRPr="00DC4A14">
        <w:rPr>
          <w:sz w:val="16"/>
          <w:szCs w:val="16"/>
        </w:rPr>
        <w:t xml:space="preserve"> </w:t>
      </w:r>
      <w:r w:rsidR="003F68C7" w:rsidRPr="00DC4A14">
        <w:rPr>
          <w:sz w:val="16"/>
          <w:szCs w:val="16"/>
        </w:rPr>
        <w:t>3</w:t>
      </w:r>
      <w:r w:rsidR="00EB5B86">
        <w:rPr>
          <w:sz w:val="16"/>
          <w:szCs w:val="16"/>
        </w:rPr>
        <w:t xml:space="preserve">: History of photogun high voltage conditioning to -360 kV with krypton gas, and then at -350 kV under vacuum conditions.  </w:t>
      </w:r>
      <w:r w:rsidRPr="00DC4A14">
        <w:rPr>
          <w:sz w:val="16"/>
          <w:szCs w:val="16"/>
        </w:rPr>
        <w:t xml:space="preserve">Gun voltage (blue), vacuum level (green) and x-ray radiation level (orange). </w:t>
      </w:r>
      <w:r w:rsidR="00EB5B86">
        <w:rPr>
          <w:sz w:val="16"/>
          <w:szCs w:val="16"/>
        </w:rPr>
        <w:t>During conditioning, r</w:t>
      </w:r>
      <w:r w:rsidRPr="00DC4A14">
        <w:rPr>
          <w:sz w:val="16"/>
          <w:szCs w:val="16"/>
        </w:rPr>
        <w:t xml:space="preserve">adiation </w:t>
      </w:r>
      <w:r w:rsidR="00EB5B86">
        <w:rPr>
          <w:sz w:val="16"/>
          <w:szCs w:val="16"/>
        </w:rPr>
        <w:t xml:space="preserve">and vacuum </w:t>
      </w:r>
      <w:r w:rsidRPr="00DC4A14">
        <w:rPr>
          <w:sz w:val="16"/>
          <w:szCs w:val="16"/>
        </w:rPr>
        <w:t xml:space="preserve">levels </w:t>
      </w:r>
      <w:r w:rsidR="00EB5B86">
        <w:rPr>
          <w:sz w:val="16"/>
          <w:szCs w:val="16"/>
        </w:rPr>
        <w:t>diminish</w:t>
      </w:r>
      <w:r w:rsidRPr="00DC4A14">
        <w:rPr>
          <w:sz w:val="16"/>
          <w:szCs w:val="16"/>
        </w:rPr>
        <w:t xml:space="preserve"> as field emitters were processed out. Sharp vertical lines indicate the voltage tripping OFF, due to field emission current exceeding the current-limit setpoint of the </w:t>
      </w:r>
      <w:r w:rsidR="00BC452D">
        <w:rPr>
          <w:sz w:val="16"/>
          <w:szCs w:val="16"/>
        </w:rPr>
        <w:t>high voltage power supply.</w:t>
      </w:r>
    </w:p>
    <w:p w:rsidR="00D90B82" w:rsidRPr="0037782A" w:rsidRDefault="00D90B82" w:rsidP="00D90B82">
      <w:pPr>
        <w:pStyle w:val="JACoWSectionHeading"/>
        <w:rPr>
          <w:szCs w:val="20"/>
        </w:rPr>
      </w:pPr>
      <w:r>
        <w:t>C</w:t>
      </w:r>
      <w:r w:rsidRPr="00DC4A14">
        <w:rPr>
          <w:rFonts w:ascii="Times New Roman Bold" w:hAnsi="Times New Roman Bold"/>
          <w:caps w:val="0"/>
        </w:rPr>
        <w:t>s</w:t>
      </w:r>
      <w:r>
        <w:t>K</w:t>
      </w:r>
      <w:r w:rsidRPr="00DC4A14">
        <w:rPr>
          <w:vertAlign w:val="subscript"/>
        </w:rPr>
        <w:t>2</w:t>
      </w:r>
      <w:r>
        <w:t>S</w:t>
      </w:r>
      <w:r w:rsidRPr="00DC4A14">
        <w:rPr>
          <w:rFonts w:ascii="Times New Roman Bold" w:hAnsi="Times New Roman Bold"/>
          <w:caps w:val="0"/>
        </w:rPr>
        <w:t>b</w:t>
      </w:r>
      <w:r>
        <w:t xml:space="preserve"> Photocathode</w:t>
      </w:r>
    </w:p>
    <w:p w:rsidR="00FF5BC3" w:rsidRDefault="00DE57FC" w:rsidP="00DC4A14">
      <w:pPr>
        <w:pStyle w:val="JACoWBodyTextIndent"/>
        <w:rPr>
          <w:rFonts w:ascii="Times" w:hAnsi="Times" w:cs="Times"/>
        </w:rPr>
      </w:pPr>
      <w:r w:rsidRPr="00DC4A14">
        <w:rPr>
          <w:rFonts w:ascii="Times" w:hAnsi="Times" w:cs="Times"/>
        </w:rPr>
        <w:t xml:space="preserve">Behind the </w:t>
      </w:r>
      <w:r>
        <w:rPr>
          <w:rFonts w:ascii="Times" w:hAnsi="Times" w:cs="Times"/>
        </w:rPr>
        <w:t>photogun high voltage chamber there is an alkali-antimonide photocathode deposition chamber. A</w:t>
      </w:r>
      <w:r>
        <w:rPr>
          <w:rFonts w:ascii="Times" w:hAnsi="Times" w:cs="Times"/>
        </w:rPr>
        <w:t>l</w:t>
      </w:r>
      <w:r>
        <w:rPr>
          <w:rFonts w:ascii="Times" w:hAnsi="Times" w:cs="Times"/>
        </w:rPr>
        <w:t>kali-antimonide photocathodes (nominally CsK</w:t>
      </w:r>
      <w:r w:rsidRPr="00DC4A14">
        <w:rPr>
          <w:rFonts w:ascii="Times" w:hAnsi="Times" w:cs="Times"/>
          <w:vertAlign w:val="subscript"/>
        </w:rPr>
        <w:t>2</w:t>
      </w:r>
      <w:r>
        <w:rPr>
          <w:rFonts w:ascii="Times" w:hAnsi="Times" w:cs="Times"/>
        </w:rPr>
        <w:t xml:space="preserve">Sb) </w:t>
      </w:r>
      <w:r w:rsidR="00BC452D">
        <w:rPr>
          <w:rFonts w:ascii="Times" w:hAnsi="Times" w:cs="Times"/>
        </w:rPr>
        <w:t xml:space="preserve">were </w:t>
      </w:r>
      <w:r>
        <w:rPr>
          <w:rFonts w:ascii="Times" w:hAnsi="Times" w:cs="Times"/>
        </w:rPr>
        <w:t>fabricated on GaAs substrates attached to molybdenum “pucks” which can be moved from the deposition cha</w:t>
      </w:r>
      <w:r>
        <w:rPr>
          <w:rFonts w:ascii="Times" w:hAnsi="Times" w:cs="Times"/>
        </w:rPr>
        <w:t>m</w:t>
      </w:r>
      <w:r>
        <w:rPr>
          <w:rFonts w:ascii="Times" w:hAnsi="Times" w:cs="Times"/>
        </w:rPr>
        <w:t xml:space="preserve">ber into the cathode electrode via </w:t>
      </w:r>
      <w:r w:rsidR="00B02710">
        <w:rPr>
          <w:rFonts w:ascii="Times" w:hAnsi="Times" w:cs="Times"/>
        </w:rPr>
        <w:t xml:space="preserve">a </w:t>
      </w:r>
      <w:r>
        <w:rPr>
          <w:rFonts w:ascii="Times" w:hAnsi="Times" w:cs="Times"/>
        </w:rPr>
        <w:t>magnetic sample m</w:t>
      </w:r>
      <w:r>
        <w:rPr>
          <w:rFonts w:ascii="Times" w:hAnsi="Times" w:cs="Times"/>
        </w:rPr>
        <w:t>a</w:t>
      </w:r>
      <w:r w:rsidR="00B02710">
        <w:rPr>
          <w:rFonts w:ascii="Times" w:hAnsi="Times" w:cs="Times"/>
        </w:rPr>
        <w:t>nipulator</w:t>
      </w:r>
      <w:r>
        <w:rPr>
          <w:rFonts w:ascii="Times" w:hAnsi="Times" w:cs="Times"/>
        </w:rPr>
        <w:t xml:space="preserve">. </w:t>
      </w:r>
    </w:p>
    <w:p w:rsidR="00322C2A" w:rsidRDefault="00322C2A" w:rsidP="00DC4A14">
      <w:pPr>
        <w:pStyle w:val="JACoWBodyTextIndent"/>
        <w:rPr>
          <w:rFonts w:ascii="Times" w:hAnsi="Times" w:cs="Times"/>
        </w:rPr>
      </w:pPr>
    </w:p>
    <w:p w:rsidR="0037782A" w:rsidRPr="00DC4A14" w:rsidRDefault="0037782A" w:rsidP="00DC4A14">
      <w:pPr>
        <w:pStyle w:val="JACoWBodyTextIndent"/>
        <w:rPr>
          <w:rFonts w:ascii="Times" w:hAnsi="Times" w:cs="Times"/>
        </w:rPr>
      </w:pPr>
      <w:r w:rsidRPr="00DC4A14">
        <w:rPr>
          <w:rFonts w:ascii="Times" w:hAnsi="Times" w:cs="Times"/>
        </w:rPr>
        <w:t>First</w:t>
      </w:r>
      <w:r w:rsidR="00DE57FC">
        <w:rPr>
          <w:rFonts w:ascii="Times" w:hAnsi="Times" w:cs="Times"/>
        </w:rPr>
        <w:t>,</w:t>
      </w:r>
      <w:r w:rsidRPr="00DC4A14">
        <w:rPr>
          <w:rFonts w:ascii="Times" w:hAnsi="Times" w:cs="Times"/>
        </w:rPr>
        <w:t xml:space="preserve"> antimony (Sb) </w:t>
      </w:r>
      <w:r w:rsidR="00BC452D">
        <w:rPr>
          <w:rFonts w:ascii="Times" w:hAnsi="Times" w:cs="Times"/>
        </w:rPr>
        <w:t>wa</w:t>
      </w:r>
      <w:r w:rsidR="00BC452D" w:rsidRPr="00DC4A14">
        <w:rPr>
          <w:rFonts w:ascii="Times" w:hAnsi="Times" w:cs="Times"/>
        </w:rPr>
        <w:t xml:space="preserve">s </w:t>
      </w:r>
      <w:r w:rsidRPr="00DC4A14">
        <w:rPr>
          <w:rFonts w:ascii="Times" w:hAnsi="Times" w:cs="Times"/>
        </w:rPr>
        <w:t>deposited on</w:t>
      </w:r>
      <w:r w:rsidR="00DE57FC">
        <w:rPr>
          <w:rFonts w:ascii="Times" w:hAnsi="Times" w:cs="Times"/>
        </w:rPr>
        <w:t>to</w:t>
      </w:r>
      <w:r w:rsidR="00CA0142" w:rsidRPr="00DC4A14">
        <w:rPr>
          <w:rFonts w:ascii="Times" w:hAnsi="Times" w:cs="Times"/>
        </w:rPr>
        <w:t xml:space="preserve"> the GaAs </w:t>
      </w:r>
      <w:r w:rsidR="00DE57FC">
        <w:rPr>
          <w:rFonts w:ascii="Times" w:hAnsi="Times" w:cs="Times"/>
        </w:rPr>
        <w:t>su</w:t>
      </w:r>
      <w:r w:rsidR="00DE57FC">
        <w:rPr>
          <w:rFonts w:ascii="Times" w:hAnsi="Times" w:cs="Times"/>
        </w:rPr>
        <w:t>b</w:t>
      </w:r>
      <w:r w:rsidR="00DE57FC">
        <w:rPr>
          <w:rFonts w:ascii="Times" w:hAnsi="Times" w:cs="Times"/>
        </w:rPr>
        <w:t>strate and then c</w:t>
      </w:r>
      <w:r w:rsidR="00DE57FC" w:rsidRPr="00DC4A14">
        <w:rPr>
          <w:rFonts w:ascii="Times" w:hAnsi="Times" w:cs="Times"/>
        </w:rPr>
        <w:t xml:space="preserve">esium </w:t>
      </w:r>
      <w:r w:rsidRPr="00DC4A14">
        <w:rPr>
          <w:rFonts w:ascii="Times" w:hAnsi="Times" w:cs="Times"/>
        </w:rPr>
        <w:t xml:space="preserve">(Cs) and potassium (K) </w:t>
      </w:r>
      <w:r w:rsidR="00DE57FC">
        <w:rPr>
          <w:rFonts w:ascii="Times" w:hAnsi="Times" w:cs="Times"/>
        </w:rPr>
        <w:t xml:space="preserve">using an effusion source </w:t>
      </w:r>
      <w:r w:rsidR="00F26A90">
        <w:rPr>
          <w:rFonts w:ascii="Times" w:hAnsi="Times" w:cs="Times"/>
        </w:rPr>
        <w:t xml:space="preserve">that contained both alkali species </w:t>
      </w:r>
      <w:r w:rsidR="00DE57FC">
        <w:rPr>
          <w:rFonts w:ascii="Times" w:hAnsi="Times" w:cs="Times"/>
        </w:rPr>
        <w:t>[</w:t>
      </w:r>
      <w:r w:rsidR="00360C3F">
        <w:rPr>
          <w:rFonts w:ascii="Times" w:hAnsi="Times" w:cs="Times"/>
        </w:rPr>
        <w:t>7</w:t>
      </w:r>
      <w:r w:rsidR="00DE57FC">
        <w:rPr>
          <w:rFonts w:ascii="Times" w:hAnsi="Times" w:cs="Times"/>
        </w:rPr>
        <w:t>]</w:t>
      </w:r>
      <w:r w:rsidRPr="00DC4A14">
        <w:rPr>
          <w:rFonts w:ascii="Times" w:hAnsi="Times" w:cs="Times"/>
        </w:rPr>
        <w:t xml:space="preserve">. </w:t>
      </w:r>
      <w:r w:rsidR="00DE57FC">
        <w:rPr>
          <w:rFonts w:ascii="Times" w:hAnsi="Times" w:cs="Times"/>
        </w:rPr>
        <w:t xml:space="preserve">Alkali </w:t>
      </w:r>
      <w:r w:rsidR="00BC452D">
        <w:rPr>
          <w:rFonts w:ascii="Times" w:hAnsi="Times" w:cs="Times"/>
        </w:rPr>
        <w:t xml:space="preserve">was </w:t>
      </w:r>
      <w:r w:rsidR="00DE57FC">
        <w:rPr>
          <w:rFonts w:ascii="Times" w:hAnsi="Times" w:cs="Times"/>
        </w:rPr>
        <w:t xml:space="preserve">applied until photocathode </w:t>
      </w:r>
      <w:r w:rsidR="00B02710">
        <w:rPr>
          <w:rFonts w:ascii="Times" w:hAnsi="Times" w:cs="Times"/>
        </w:rPr>
        <w:t>quantum efficiency (</w:t>
      </w:r>
      <w:r w:rsidR="00DE57FC">
        <w:rPr>
          <w:rFonts w:ascii="Times" w:hAnsi="Times" w:cs="Times"/>
        </w:rPr>
        <w:t>QE</w:t>
      </w:r>
      <w:r w:rsidR="00B02710">
        <w:rPr>
          <w:rFonts w:ascii="Times" w:hAnsi="Times" w:cs="Times"/>
        </w:rPr>
        <w:t>)</w:t>
      </w:r>
      <w:r w:rsidR="00DE57FC">
        <w:rPr>
          <w:rFonts w:ascii="Times" w:hAnsi="Times" w:cs="Times"/>
        </w:rPr>
        <w:t xml:space="preserve"> </w:t>
      </w:r>
      <w:r w:rsidR="00BC452D">
        <w:rPr>
          <w:rFonts w:ascii="Times" w:hAnsi="Times" w:cs="Times"/>
        </w:rPr>
        <w:t xml:space="preserve">stopped </w:t>
      </w:r>
      <w:r w:rsidR="00DE57FC">
        <w:rPr>
          <w:rFonts w:ascii="Times" w:hAnsi="Times" w:cs="Times"/>
        </w:rPr>
        <w:t xml:space="preserve">increasing, </w:t>
      </w:r>
      <w:r w:rsidR="00F26A90">
        <w:rPr>
          <w:rFonts w:ascii="Times" w:hAnsi="Times" w:cs="Times"/>
        </w:rPr>
        <w:t>achieving</w:t>
      </w:r>
      <w:r w:rsidR="00DE57FC">
        <w:rPr>
          <w:rFonts w:ascii="Times" w:hAnsi="Times" w:cs="Times"/>
        </w:rPr>
        <w:t xml:space="preserve"> </w:t>
      </w:r>
      <w:r w:rsidR="00B02710">
        <w:rPr>
          <w:rFonts w:ascii="Times" w:hAnsi="Times" w:cs="Times"/>
        </w:rPr>
        <w:t>typical QE values in the</w:t>
      </w:r>
      <w:r w:rsidR="00BC452D">
        <w:rPr>
          <w:rFonts w:ascii="Times" w:hAnsi="Times" w:cs="Times"/>
        </w:rPr>
        <w:t xml:space="preserve"> range of</w:t>
      </w:r>
      <w:r w:rsidR="00B02710">
        <w:rPr>
          <w:rFonts w:ascii="Times" w:hAnsi="Times" w:cs="Times"/>
        </w:rPr>
        <w:t xml:space="preserve"> 5 to 10% at 532 nm. </w:t>
      </w:r>
      <w:r w:rsidRPr="00DC4A14">
        <w:rPr>
          <w:rFonts w:ascii="Times" w:hAnsi="Times" w:cs="Times"/>
        </w:rPr>
        <w:t xml:space="preserve">The active area of the photocathode </w:t>
      </w:r>
      <w:r w:rsidR="00BC452D" w:rsidRPr="00DC4A14">
        <w:rPr>
          <w:rFonts w:ascii="Times" w:hAnsi="Times" w:cs="Times"/>
        </w:rPr>
        <w:t>c</w:t>
      </w:r>
      <w:r w:rsidR="00BC452D">
        <w:rPr>
          <w:rFonts w:ascii="Times" w:hAnsi="Times" w:cs="Times"/>
        </w:rPr>
        <w:t>ould</w:t>
      </w:r>
      <w:r w:rsidR="00BC452D" w:rsidRPr="00DC4A14">
        <w:rPr>
          <w:rFonts w:ascii="Times" w:hAnsi="Times" w:cs="Times"/>
        </w:rPr>
        <w:t xml:space="preserve"> </w:t>
      </w:r>
      <w:r w:rsidRPr="00DC4A14">
        <w:rPr>
          <w:rFonts w:ascii="Times" w:hAnsi="Times" w:cs="Times"/>
        </w:rPr>
        <w:t xml:space="preserve">be controlled using a mask with </w:t>
      </w:r>
      <w:r w:rsidR="00B02710">
        <w:rPr>
          <w:rFonts w:ascii="Times" w:hAnsi="Times" w:cs="Times"/>
        </w:rPr>
        <w:t>di</w:t>
      </w:r>
      <w:r w:rsidR="00B02710">
        <w:rPr>
          <w:rFonts w:ascii="Times" w:hAnsi="Times" w:cs="Times"/>
        </w:rPr>
        <w:t>f</w:t>
      </w:r>
      <w:r w:rsidR="00B02710">
        <w:rPr>
          <w:rFonts w:ascii="Times" w:hAnsi="Times" w:cs="Times"/>
        </w:rPr>
        <w:t xml:space="preserve">ferent </w:t>
      </w:r>
      <w:r w:rsidRPr="00DC4A14">
        <w:rPr>
          <w:rFonts w:ascii="Times" w:hAnsi="Times" w:cs="Times"/>
        </w:rPr>
        <w:t>hole sizes</w:t>
      </w:r>
      <w:r w:rsidR="00B02710">
        <w:rPr>
          <w:rFonts w:ascii="Times" w:hAnsi="Times" w:cs="Times"/>
        </w:rPr>
        <w:t>: 3, 5, 7 and 13 mm</w:t>
      </w:r>
      <w:r w:rsidRPr="00DC4A14">
        <w:rPr>
          <w:rFonts w:ascii="Times" w:hAnsi="Times" w:cs="Times"/>
        </w:rPr>
        <w:t xml:space="preserve">. Once a photocathode </w:t>
      </w:r>
      <w:r w:rsidR="00BC452D">
        <w:rPr>
          <w:rFonts w:ascii="Times" w:hAnsi="Times" w:cs="Times"/>
        </w:rPr>
        <w:t>wa</w:t>
      </w:r>
      <w:r w:rsidR="00BC452D" w:rsidRPr="00DC4A14">
        <w:rPr>
          <w:rFonts w:ascii="Times" w:hAnsi="Times" w:cs="Times"/>
        </w:rPr>
        <w:t xml:space="preserve">s </w:t>
      </w:r>
      <w:r w:rsidRPr="00DC4A14">
        <w:rPr>
          <w:rFonts w:ascii="Times" w:hAnsi="Times" w:cs="Times"/>
        </w:rPr>
        <w:t>prepared</w:t>
      </w:r>
      <w:r w:rsidR="00B02710">
        <w:rPr>
          <w:rFonts w:ascii="Times" w:hAnsi="Times" w:cs="Times"/>
        </w:rPr>
        <w:t xml:space="preserve">, it </w:t>
      </w:r>
      <w:r w:rsidR="00BC452D">
        <w:rPr>
          <w:rFonts w:ascii="Times" w:hAnsi="Times" w:cs="Times"/>
        </w:rPr>
        <w:t xml:space="preserve">was </w:t>
      </w:r>
      <w:r w:rsidR="00B02710">
        <w:rPr>
          <w:rFonts w:ascii="Times" w:hAnsi="Times" w:cs="Times"/>
        </w:rPr>
        <w:t xml:space="preserve">quickly transferred to the photogun.  </w:t>
      </w:r>
      <w:r w:rsidRPr="00DC4A14">
        <w:rPr>
          <w:rFonts w:ascii="Times" w:hAnsi="Times" w:cs="Times"/>
        </w:rPr>
        <w:t xml:space="preserve"> </w:t>
      </w:r>
    </w:p>
    <w:p w:rsidR="0037782A" w:rsidRPr="00DC4A14" w:rsidRDefault="0037782A" w:rsidP="00DC4A14">
      <w:pPr>
        <w:pStyle w:val="JACoWBodyTextIndent"/>
        <w:rPr>
          <w:rFonts w:ascii="Times" w:hAnsi="Times" w:cs="Times"/>
        </w:rPr>
      </w:pPr>
    </w:p>
    <w:p w:rsidR="00EF6887" w:rsidRDefault="0037782A" w:rsidP="00B02710">
      <w:pPr>
        <w:pStyle w:val="JACoWBodyTextIndent"/>
        <w:jc w:val="center"/>
        <w:rPr>
          <w:b/>
          <w:sz w:val="24"/>
          <w:szCs w:val="24"/>
        </w:rPr>
      </w:pPr>
      <w:r w:rsidRPr="0037782A">
        <w:rPr>
          <w:b/>
          <w:sz w:val="24"/>
          <w:szCs w:val="24"/>
        </w:rPr>
        <w:t>BEAM EMITTANCE STUDIES</w:t>
      </w:r>
    </w:p>
    <w:p w:rsidR="00322C2A" w:rsidRDefault="00322C2A" w:rsidP="00B02710">
      <w:pPr>
        <w:pStyle w:val="JACoWBodyTextIndent"/>
        <w:jc w:val="center"/>
        <w:rPr>
          <w:b/>
          <w:sz w:val="24"/>
          <w:szCs w:val="24"/>
        </w:rPr>
      </w:pPr>
    </w:p>
    <w:p w:rsidR="0037782A" w:rsidRPr="0037782A" w:rsidRDefault="001005AD" w:rsidP="00DC4A14">
      <w:pPr>
        <w:pStyle w:val="JACoWBodyTextIndent"/>
      </w:pPr>
      <w:r>
        <w:t xml:space="preserve">The photogun </w:t>
      </w:r>
      <w:r w:rsidR="00CA3776">
        <w:t>wa</w:t>
      </w:r>
      <w:r>
        <w:t>s attached to a modest diagnostic beamline that will be described in more detail in a future publi</w:t>
      </w:r>
      <w:r w:rsidR="00CA3776">
        <w:t xml:space="preserve">cation. </w:t>
      </w:r>
      <w:r>
        <w:t>Relevant beamline components for this work include YAG view screens and a wire scanner, used to measure beam emittance, and a Faraday Cup beam dump for photocathode lifetime measurement</w:t>
      </w:r>
      <w:r w:rsidR="00CA3776">
        <w:t xml:space="preserve">s at milliampere </w:t>
      </w:r>
      <w:r w:rsidR="00CA3776">
        <w:lastRenderedPageBreak/>
        <w:t xml:space="preserve">beam current. </w:t>
      </w:r>
      <w:r w:rsidR="0037782A" w:rsidRPr="0037782A">
        <w:t>The tran</w:t>
      </w:r>
      <w:r w:rsidR="004A6C80">
        <w:t xml:space="preserve">sverse beam emittances were </w:t>
      </w:r>
      <w:r w:rsidR="00CA3776">
        <w:t>measured</w:t>
      </w:r>
      <w:r w:rsidR="00BE0246">
        <w:t xml:space="preserve"> </w:t>
      </w:r>
      <w:r w:rsidR="004A6C80" w:rsidRPr="004A6C80">
        <w:t xml:space="preserve">using </w:t>
      </w:r>
      <w:r w:rsidR="0045488C">
        <w:t xml:space="preserve">the standard </w:t>
      </w:r>
      <w:r w:rsidR="004A6C80" w:rsidRPr="004A6C80">
        <w:t xml:space="preserve">solenoid scan </w:t>
      </w:r>
      <w:r w:rsidR="0045488C">
        <w:t>technique, where the</w:t>
      </w:r>
      <w:r w:rsidR="004A6C80" w:rsidRPr="004A6C80">
        <w:t xml:space="preserve"> solenoid current </w:t>
      </w:r>
      <w:r w:rsidR="00CA3776">
        <w:t>was</w:t>
      </w:r>
      <w:r w:rsidR="00CA3776" w:rsidRPr="004A6C80">
        <w:t xml:space="preserve"> </w:t>
      </w:r>
      <w:r w:rsidR="004A6C80" w:rsidRPr="004A6C80">
        <w:t xml:space="preserve">varied and the beam size at the </w:t>
      </w:r>
      <w:r w:rsidR="00CA3776">
        <w:t xml:space="preserve">YAG view screen or </w:t>
      </w:r>
      <w:r w:rsidR="004A6C80" w:rsidRPr="004A6C80">
        <w:t xml:space="preserve">wire scanner recorded. The data </w:t>
      </w:r>
      <w:r w:rsidR="00CA3776">
        <w:t>were</w:t>
      </w:r>
      <w:r w:rsidR="00CA3776" w:rsidRPr="004A6C80">
        <w:t xml:space="preserve"> </w:t>
      </w:r>
      <w:r w:rsidR="004A6C80" w:rsidRPr="004A6C80">
        <w:t>later fitted to obtain the emit</w:t>
      </w:r>
      <w:r w:rsidR="00270B93">
        <w:t>tance</w:t>
      </w:r>
      <w:r w:rsidR="0037782A" w:rsidRPr="0037782A">
        <w:t xml:space="preserve">. </w:t>
      </w:r>
      <w:r w:rsidR="00CA3776">
        <w:t>S</w:t>
      </w:r>
      <w:r w:rsidR="0037782A" w:rsidRPr="0037782A">
        <w:t>tudies were conducted under different conditions: var</w:t>
      </w:r>
      <w:r w:rsidR="00CA0142">
        <w:t>ying the gun bias voltage, inci</w:t>
      </w:r>
      <w:r w:rsidR="0037782A" w:rsidRPr="0037782A">
        <w:t xml:space="preserve">dent laser size, incident </w:t>
      </w:r>
      <w:r w:rsidR="00CA0142">
        <w:t>laser position on the photocath</w:t>
      </w:r>
      <w:r w:rsidR="0037782A" w:rsidRPr="0037782A">
        <w:t xml:space="preserve">ode, </w:t>
      </w:r>
      <w:r w:rsidR="00E80A79">
        <w:t xml:space="preserve">and </w:t>
      </w:r>
      <w:r w:rsidR="0037782A" w:rsidRPr="0037782A">
        <w:t>electron beam cur</w:t>
      </w:r>
      <w:r w:rsidR="00BE0246">
        <w:t>rent. The emi</w:t>
      </w:r>
      <w:r w:rsidR="00BE0246">
        <w:t>t</w:t>
      </w:r>
      <w:r w:rsidR="00BE0246">
        <w:t>tance near a dam</w:t>
      </w:r>
      <w:r w:rsidR="0037782A" w:rsidRPr="0037782A">
        <w:t xml:space="preserve">aged photocathode spot </w:t>
      </w:r>
      <w:r w:rsidR="00CA3776" w:rsidRPr="0037782A">
        <w:t>w</w:t>
      </w:r>
      <w:r w:rsidR="00CA3776">
        <w:t>as</w:t>
      </w:r>
      <w:r w:rsidR="00CA3776" w:rsidRPr="0037782A">
        <w:t xml:space="preserve"> </w:t>
      </w:r>
      <w:r w:rsidR="0037782A" w:rsidRPr="0037782A">
        <w:t>also studied.</w:t>
      </w:r>
      <w:r w:rsidR="00E80A79">
        <w:t xml:space="preserve"> </w:t>
      </w:r>
      <w:r w:rsidR="00CA3776">
        <w:t xml:space="preserve">A green light rf-pulsed drive </w:t>
      </w:r>
      <w:r w:rsidR="00E80A79">
        <w:t xml:space="preserve">laser was used for </w:t>
      </w:r>
      <w:r w:rsidR="00CA3776">
        <w:t>all mea</w:t>
      </w:r>
      <w:r w:rsidR="00CA3776">
        <w:t>s</w:t>
      </w:r>
      <w:r w:rsidR="00CA3776">
        <w:t>urements (532 nm, 374 MHz bunch repetition rate, and ~ 35 ps pulsewidth FWHM)</w:t>
      </w:r>
      <w:r w:rsidR="00E80A79">
        <w:t xml:space="preserve">. </w:t>
      </w:r>
    </w:p>
    <w:p w:rsidR="0037782A" w:rsidRDefault="0037782A" w:rsidP="00DC4A14">
      <w:pPr>
        <w:pStyle w:val="JACoWBodyTextIndent"/>
        <w:ind w:firstLine="0"/>
      </w:pPr>
    </w:p>
    <w:p w:rsidR="0037782A" w:rsidRDefault="0037782A" w:rsidP="00DC4A14">
      <w:pPr>
        <w:pStyle w:val="JACoWBodyTextIndent"/>
        <w:ind w:firstLine="0"/>
        <w:jc w:val="center"/>
        <w:rPr>
          <w:b/>
          <w:sz w:val="24"/>
          <w:szCs w:val="24"/>
        </w:rPr>
      </w:pPr>
      <w:r>
        <w:rPr>
          <w:b/>
          <w:sz w:val="24"/>
        </w:rPr>
        <w:t>MEASUREMENT RESULTS</w:t>
      </w:r>
    </w:p>
    <w:p w:rsidR="00DC4A14" w:rsidRDefault="00DC4A14" w:rsidP="00DC4A14">
      <w:pPr>
        <w:pStyle w:val="JACoWBodyTextIndent"/>
      </w:pPr>
      <w:r>
        <w:t>Beam emittance was first measured as a function of a</w:t>
      </w:r>
      <w:r>
        <w:t>v</w:t>
      </w:r>
      <w:r>
        <w:t xml:space="preserve">erage current and bunch charge, to </w:t>
      </w:r>
      <w:r w:rsidR="0004508E">
        <w:t xml:space="preserve">find beam conditions </w:t>
      </w:r>
      <w:r>
        <w:t>not influence</w:t>
      </w:r>
      <w:r w:rsidR="0004508E">
        <w:t>d</w:t>
      </w:r>
      <w:r>
        <w:t xml:space="preserve"> by space charge effects</w:t>
      </w:r>
      <w:r w:rsidR="0004508E">
        <w:t>, but at currents sufficiently high to be resolved by the wire scanner ele</w:t>
      </w:r>
      <w:r w:rsidR="0004508E">
        <w:t>c</w:t>
      </w:r>
      <w:r w:rsidR="0004508E">
        <w:t>tronics</w:t>
      </w:r>
      <w:r>
        <w:t xml:space="preserve">.  Next, beam emittance </w:t>
      </w:r>
      <w:r w:rsidR="006323E8">
        <w:t xml:space="preserve">was measured </w:t>
      </w:r>
      <w:r>
        <w:t>as a fun</w:t>
      </w:r>
      <w:r>
        <w:t>c</w:t>
      </w:r>
      <w:r>
        <w:t>tion of gun bias voltage</w:t>
      </w:r>
      <w:r w:rsidR="0004508E">
        <w:t>, validating that normalized emi</w:t>
      </w:r>
      <w:r w:rsidR="0004508E">
        <w:t>t</w:t>
      </w:r>
      <w:r w:rsidR="0004508E">
        <w:t>tance values were constant with gun voltage. Finally, beamline optics were identified that provided sufficiently large beam spot sizes during the solenoid scan, that could be accurately measured using the YAG view screen and camera.</w:t>
      </w:r>
      <w:r w:rsidR="006C54CC">
        <w:t xml:space="preserve">  Measurements were often made with both the YAG screen and wire scanner, to validate results.</w:t>
      </w:r>
    </w:p>
    <w:p w:rsidR="00322C2A" w:rsidRDefault="00322C2A" w:rsidP="00DC4A14">
      <w:pPr>
        <w:pStyle w:val="JACoWBodyTextIndent"/>
      </w:pPr>
    </w:p>
    <w:p w:rsidR="002035F2" w:rsidRPr="00F34689" w:rsidRDefault="002035F2" w:rsidP="00F34689">
      <w:pPr>
        <w:pStyle w:val="JACoWBodyTextIndent"/>
      </w:pPr>
      <w:r>
        <w:t>With confidence that the emittance measurement tec</w:t>
      </w:r>
      <w:r>
        <w:t>h</w:t>
      </w:r>
      <w:r>
        <w:t>niques were reliable, beam emittance was measured with different laser spot sizes at the surface of the photocat</w:t>
      </w:r>
      <w:r>
        <w:t>h</w:t>
      </w:r>
      <w:r>
        <w:t xml:space="preserve">ode. The slope of normalized rms emittance as a function of rms laser spot size is often called the thermal angle. </w:t>
      </w:r>
      <w:r w:rsidR="006323E8">
        <w:t>Res</w:t>
      </w:r>
      <w:r w:rsidR="0045488C">
        <w:t>ults are summarized in Figure 4</w:t>
      </w:r>
      <w:r w:rsidR="006C54CC">
        <w:t xml:space="preserve">. </w:t>
      </w:r>
      <w:r w:rsidR="0045488C">
        <w:t>The measured</w:t>
      </w:r>
      <w:r w:rsidR="006323E8">
        <w:t xml:space="preserve"> “the</w:t>
      </w:r>
      <w:r w:rsidR="006323E8">
        <w:t>r</w:t>
      </w:r>
      <w:r w:rsidR="006323E8">
        <w:t>mal emittance” value of ~ 0.45 mrad is slightly smaller than published values [</w:t>
      </w:r>
      <w:r w:rsidR="00360C3F">
        <w:t>8</w:t>
      </w:r>
      <w:r w:rsidR="006323E8">
        <w:t>].</w:t>
      </w:r>
    </w:p>
    <w:p w:rsidR="002035F2" w:rsidRDefault="00D47C93" w:rsidP="00506FD8">
      <w:pPr>
        <w:pStyle w:val="JACoWBodyTextIndent"/>
        <w:ind w:firstLine="0"/>
        <w:jc w:val="center"/>
        <w:rPr>
          <w:b/>
          <w:sz w:val="24"/>
          <w:szCs w:val="24"/>
        </w:rPr>
      </w:pPr>
      <w:r>
        <w:rPr>
          <w:noProof/>
          <w:lang w:val="en-US" w:eastAsia="zh-CN"/>
        </w:rPr>
        <w:drawing>
          <wp:inline distT="0" distB="0" distL="0" distR="0" wp14:anchorId="2C9DC778" wp14:editId="3BFA05D5">
            <wp:extent cx="2743200" cy="154830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35F2" w:rsidRDefault="002035F2" w:rsidP="004B7D16">
      <w:pPr>
        <w:pStyle w:val="JACoWBodyTextIndent"/>
        <w:ind w:firstLine="0"/>
        <w:jc w:val="center"/>
      </w:pPr>
      <w:r w:rsidRPr="004B7D16">
        <w:rPr>
          <w:sz w:val="16"/>
          <w:szCs w:val="16"/>
        </w:rPr>
        <w:t xml:space="preserve">Figure </w:t>
      </w:r>
      <w:r w:rsidR="0045488C">
        <w:rPr>
          <w:sz w:val="16"/>
          <w:szCs w:val="16"/>
        </w:rPr>
        <w:t>4</w:t>
      </w:r>
      <w:r w:rsidRPr="004B7D16">
        <w:rPr>
          <w:sz w:val="16"/>
          <w:szCs w:val="16"/>
        </w:rPr>
        <w:t xml:space="preserve">: Normalized emittance vs laser </w:t>
      </w:r>
      <w:r>
        <w:rPr>
          <w:sz w:val="16"/>
          <w:szCs w:val="16"/>
        </w:rPr>
        <w:t>spot size at the phot</w:t>
      </w:r>
      <w:r w:rsidR="00C3566C">
        <w:rPr>
          <w:sz w:val="16"/>
          <w:szCs w:val="16"/>
        </w:rPr>
        <w:t>o</w:t>
      </w:r>
      <w:r>
        <w:rPr>
          <w:sz w:val="16"/>
          <w:szCs w:val="16"/>
        </w:rPr>
        <w:t>cathode</w:t>
      </w:r>
    </w:p>
    <w:p w:rsidR="0037782A" w:rsidRDefault="0037782A" w:rsidP="004B7D16">
      <w:pPr>
        <w:pStyle w:val="JACoWBodyTextIndent"/>
        <w:ind w:firstLine="0"/>
        <w:rPr>
          <w:b/>
          <w:sz w:val="24"/>
          <w:szCs w:val="24"/>
        </w:rPr>
      </w:pPr>
    </w:p>
    <w:p w:rsidR="00BB67BE" w:rsidRDefault="006323E8" w:rsidP="004B7D16">
      <w:pPr>
        <w:pStyle w:val="JACoWBodyTextIndent"/>
      </w:pPr>
      <w:r>
        <w:t>Concerned that the triple-point-junction s</w:t>
      </w:r>
      <w:r w:rsidR="0045488C">
        <w:t>hield</w:t>
      </w:r>
      <w:r>
        <w:t xml:space="preserve"> ele</w:t>
      </w:r>
      <w:r>
        <w:t>c</w:t>
      </w:r>
      <w:r>
        <w:t>trode could disturb the electric field within the cathode anode gap</w:t>
      </w:r>
      <w:r w:rsidR="0045488C">
        <w:t xml:space="preserve"> and degrade beam quality</w:t>
      </w:r>
      <w:r>
        <w:t xml:space="preserve">, the beam emittance was measured </w:t>
      </w:r>
      <w:r w:rsidR="0037782A" w:rsidRPr="0037782A">
        <w:t xml:space="preserve">by scanning the </w:t>
      </w:r>
      <w:r>
        <w:t xml:space="preserve">drive </w:t>
      </w:r>
      <w:r w:rsidR="0037782A" w:rsidRPr="0037782A">
        <w:t xml:space="preserve">laser </w:t>
      </w:r>
      <w:r w:rsidR="0045488C">
        <w:t>in</w:t>
      </w:r>
      <w:r w:rsidR="0045488C" w:rsidRPr="0037782A">
        <w:t xml:space="preserve"> </w:t>
      </w:r>
      <w:r w:rsidR="00F26A90">
        <w:t>X</w:t>
      </w:r>
      <w:r w:rsidR="0037782A" w:rsidRPr="0037782A">
        <w:t xml:space="preserve"> </w:t>
      </w:r>
      <w:r w:rsidR="0045488C">
        <w:t xml:space="preserve">and </w:t>
      </w:r>
      <w:r w:rsidR="00F26A90">
        <w:t>Y</w:t>
      </w:r>
      <w:r>
        <w:t xml:space="preserve"> </w:t>
      </w:r>
      <w:r w:rsidR="0045488C">
        <w:t>across the photocathode surface</w:t>
      </w:r>
      <w:r w:rsidR="0037782A" w:rsidRPr="0037782A">
        <w:t xml:space="preserve">. </w:t>
      </w:r>
      <w:r w:rsidR="0045488C">
        <w:t xml:space="preserve">Beam emittance was observed to be uniform within </w:t>
      </w:r>
      <w:r w:rsidR="00BB67BE">
        <w:t>an</w:t>
      </w:r>
      <w:r w:rsidR="0045488C">
        <w:t xml:space="preserve"> 8 mm dia</w:t>
      </w:r>
      <w:r w:rsidR="000E4ACB">
        <w:t>.</w:t>
      </w:r>
      <w:r w:rsidR="00BB67BE">
        <w:t xml:space="preserve"> center </w:t>
      </w:r>
      <w:r w:rsidR="0045488C">
        <w:t xml:space="preserve">region, out of the full photocathode </w:t>
      </w:r>
      <w:r w:rsidR="00BB67BE">
        <w:t>diameter</w:t>
      </w:r>
      <w:r w:rsidR="0045488C">
        <w:t xml:space="preserve"> of 13 mm (Figure 5)</w:t>
      </w:r>
      <w:r w:rsidR="00BB67BE">
        <w:t>. And because long lifetime operation typically requires relatively small photocathode active area [</w:t>
      </w:r>
      <w:r w:rsidR="00360C3F">
        <w:t>9</w:t>
      </w:r>
      <w:r w:rsidR="00BB67BE">
        <w:t>], it was co</w:t>
      </w:r>
      <w:r w:rsidR="00BB67BE">
        <w:t>n</w:t>
      </w:r>
      <w:r w:rsidR="00BB67BE">
        <w:t>cluded</w:t>
      </w:r>
      <w:r w:rsidR="000E4ACB">
        <w:t xml:space="preserve"> the shield electrode does not adversely affect the optics of the photogun.</w:t>
      </w:r>
      <w:r w:rsidR="00BB67BE">
        <w:t xml:space="preserve">  </w:t>
      </w:r>
    </w:p>
    <w:p w:rsidR="0037782A" w:rsidRPr="0037782A" w:rsidRDefault="00506FD8" w:rsidP="00D47C93">
      <w:pPr>
        <w:pStyle w:val="JACoWBodyTextIndent"/>
        <w:ind w:firstLine="0"/>
        <w:jc w:val="center"/>
      </w:pPr>
      <w:r>
        <w:rPr>
          <w:noProof/>
          <w:lang w:val="en-US" w:eastAsia="zh-CN"/>
        </w:rPr>
        <w:lastRenderedPageBreak/>
        <w:drawing>
          <wp:inline distT="0" distB="0" distL="0" distR="0" wp14:anchorId="381A485D" wp14:editId="6356FB4A">
            <wp:extent cx="2790825" cy="14954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782A" w:rsidRDefault="00D47C93" w:rsidP="00D47C93">
      <w:pPr>
        <w:pStyle w:val="JACoWBodyTextIndent"/>
        <w:ind w:firstLine="0"/>
        <w:jc w:val="center"/>
        <w:rPr>
          <w:b/>
          <w:sz w:val="24"/>
          <w:szCs w:val="24"/>
        </w:rPr>
      </w:pPr>
      <w:r w:rsidRPr="00D47C93">
        <w:rPr>
          <w:noProof/>
          <w:lang w:val="en-US" w:eastAsia="zh-CN"/>
        </w:rPr>
        <w:t xml:space="preserve"> </w:t>
      </w:r>
      <w:r w:rsidR="00506FD8">
        <w:rPr>
          <w:noProof/>
          <w:lang w:val="en-US" w:eastAsia="zh-CN"/>
        </w:rPr>
        <w:drawing>
          <wp:inline distT="0" distB="0" distL="0" distR="0" wp14:anchorId="4F8DABAA" wp14:editId="08FF8BC7">
            <wp:extent cx="2790825" cy="1514474"/>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3776" w:rsidRDefault="0037782A" w:rsidP="00DB4537">
      <w:pPr>
        <w:pStyle w:val="JACoWBodyTextIndent"/>
        <w:ind w:firstLine="0"/>
        <w:rPr>
          <w:sz w:val="16"/>
          <w:szCs w:val="16"/>
        </w:rPr>
      </w:pPr>
      <w:r w:rsidRPr="004B7D16">
        <w:rPr>
          <w:sz w:val="16"/>
          <w:szCs w:val="16"/>
        </w:rPr>
        <w:t xml:space="preserve">Figure </w:t>
      </w:r>
      <w:r w:rsidR="00F26A90">
        <w:rPr>
          <w:sz w:val="16"/>
          <w:szCs w:val="16"/>
        </w:rPr>
        <w:t>5</w:t>
      </w:r>
      <w:r w:rsidRPr="004B7D16">
        <w:rPr>
          <w:sz w:val="16"/>
          <w:szCs w:val="16"/>
        </w:rPr>
        <w:t>: Normali</w:t>
      </w:r>
      <w:r w:rsidR="00F96771">
        <w:rPr>
          <w:sz w:val="16"/>
          <w:szCs w:val="16"/>
        </w:rPr>
        <w:t>zed emittance vs laser position: (top) laser beam moved horizontally, (bottom) laser beam moved vertically across the photocathode</w:t>
      </w:r>
      <w:r w:rsidR="00DB4537">
        <w:rPr>
          <w:sz w:val="16"/>
          <w:szCs w:val="16"/>
        </w:rPr>
        <w:t xml:space="preserve"> surface.</w:t>
      </w:r>
    </w:p>
    <w:p w:rsidR="00DB4537" w:rsidRPr="00506FD8" w:rsidRDefault="00DB4537" w:rsidP="00DB4537">
      <w:pPr>
        <w:pStyle w:val="JACoWBodyTextIndent"/>
        <w:ind w:firstLine="0"/>
        <w:jc w:val="left"/>
        <w:rPr>
          <w:sz w:val="16"/>
          <w:szCs w:val="16"/>
        </w:rPr>
      </w:pPr>
    </w:p>
    <w:p w:rsidR="00CA3776" w:rsidRDefault="00BB67BE" w:rsidP="00CA3776">
      <w:pPr>
        <w:pStyle w:val="JACoWBodyTextIndent"/>
      </w:pPr>
      <w:r>
        <w:t>Finally, high average current beam at 4.5 mA was d</w:t>
      </w:r>
      <w:r>
        <w:t>e</w:t>
      </w:r>
      <w:r>
        <w:t>livered to the beam dump, the maximum current the high voltage power supply could provide.  During a six-hour period, photocathode QE fell to 1/e of its initial value after delivering 164 C, a value considerably smaller than reported elsewhere [</w:t>
      </w:r>
      <w:r w:rsidR="00360C3F">
        <w:t>9</w:t>
      </w:r>
      <w:r>
        <w:t>], indicating refinements are nece</w:t>
      </w:r>
      <w:r>
        <w:t>s</w:t>
      </w:r>
      <w:r>
        <w:t>sary</w:t>
      </w:r>
      <w:r w:rsidR="006C54CC">
        <w:t xml:space="preserve">, such as reducing the </w:t>
      </w:r>
      <w:r>
        <w:t xml:space="preserve">photocathode active area, </w:t>
      </w:r>
      <w:r w:rsidR="006C54CC">
        <w:t>mod</w:t>
      </w:r>
      <w:r w:rsidR="006C54CC">
        <w:t>i</w:t>
      </w:r>
      <w:r w:rsidR="006C54CC">
        <w:t xml:space="preserve">fying the </w:t>
      </w:r>
      <w:r>
        <w:t xml:space="preserve">photocathode recipe, </w:t>
      </w:r>
      <w:r w:rsidR="006C54CC">
        <w:t xml:space="preserve">changing the </w:t>
      </w:r>
      <w:r>
        <w:t xml:space="preserve">photocathode substrate and/or </w:t>
      </w:r>
      <w:r w:rsidR="00F26A90">
        <w:t xml:space="preserve">the </w:t>
      </w:r>
      <w:r>
        <w:t>vacuum conditions within the gun and beamline that could influence ion production [</w:t>
      </w:r>
      <w:r w:rsidR="00360C3F">
        <w:t>10</w:t>
      </w:r>
      <w:r>
        <w:t xml:space="preserve">].   </w:t>
      </w:r>
    </w:p>
    <w:p w:rsidR="00CA3776" w:rsidRPr="0037782A" w:rsidRDefault="00CA3776" w:rsidP="00DC4A14">
      <w:pPr>
        <w:pStyle w:val="JACoWBodyTextIndent"/>
        <w:ind w:firstLine="0"/>
      </w:pPr>
    </w:p>
    <w:p w:rsidR="00506FD8" w:rsidRDefault="0037782A" w:rsidP="00506FD8">
      <w:pPr>
        <w:pStyle w:val="JACoWSubsectionHeading"/>
        <w:spacing w:before="0"/>
        <w:jc w:val="center"/>
        <w:rPr>
          <w:b/>
          <w:i w:val="0"/>
        </w:rPr>
      </w:pPr>
      <w:r w:rsidRPr="00A265E1">
        <w:rPr>
          <w:b/>
          <w:i w:val="0"/>
        </w:rPr>
        <w:t>CONC</w:t>
      </w:r>
      <w:r w:rsidRPr="0037782A">
        <w:rPr>
          <w:b/>
          <w:i w:val="0"/>
        </w:rPr>
        <w:t>LUSION AND FUTURE PLAN</w:t>
      </w:r>
    </w:p>
    <w:p w:rsidR="006C54CC" w:rsidRPr="00506FD8" w:rsidRDefault="00506FD8" w:rsidP="00AA29BE">
      <w:pPr>
        <w:pStyle w:val="JACoWSubsectionHeading"/>
        <w:spacing w:before="0"/>
        <w:jc w:val="both"/>
        <w:rPr>
          <w:b/>
          <w:i w:val="0"/>
        </w:rPr>
      </w:pPr>
      <w:r>
        <w:rPr>
          <w:b/>
          <w:i w:val="0"/>
        </w:rPr>
        <w:t xml:space="preserve">   </w:t>
      </w:r>
      <w:r w:rsidR="0037782A" w:rsidRPr="0037782A">
        <w:rPr>
          <w:i w:val="0"/>
          <w:sz w:val="20"/>
          <w:szCs w:val="20"/>
        </w:rPr>
        <w:t xml:space="preserve">A compact </w:t>
      </w:r>
      <w:r w:rsidR="00BB67BE">
        <w:rPr>
          <w:i w:val="0"/>
          <w:sz w:val="20"/>
          <w:szCs w:val="20"/>
        </w:rPr>
        <w:t>dc</w:t>
      </w:r>
      <w:r w:rsidR="00BB67BE" w:rsidRPr="0037782A">
        <w:rPr>
          <w:i w:val="0"/>
          <w:sz w:val="20"/>
          <w:szCs w:val="20"/>
        </w:rPr>
        <w:t xml:space="preserve"> </w:t>
      </w:r>
      <w:r w:rsidR="0037782A" w:rsidRPr="0037782A">
        <w:rPr>
          <w:i w:val="0"/>
          <w:sz w:val="20"/>
          <w:szCs w:val="20"/>
        </w:rPr>
        <w:t xml:space="preserve">high voltage </w:t>
      </w:r>
      <w:r w:rsidR="00BB67BE">
        <w:rPr>
          <w:i w:val="0"/>
          <w:sz w:val="20"/>
          <w:szCs w:val="20"/>
        </w:rPr>
        <w:t>photo</w:t>
      </w:r>
      <w:r w:rsidR="0037782A" w:rsidRPr="0037782A">
        <w:rPr>
          <w:i w:val="0"/>
          <w:sz w:val="20"/>
          <w:szCs w:val="20"/>
        </w:rPr>
        <w:t xml:space="preserve">gun was designed and built </w:t>
      </w:r>
      <w:r w:rsidR="00BB67BE">
        <w:rPr>
          <w:i w:val="0"/>
          <w:sz w:val="20"/>
          <w:szCs w:val="20"/>
        </w:rPr>
        <w:t>and operated at -300 kV bias voltage with an alkali-antimonide photocathode</w:t>
      </w:r>
      <w:r w:rsidR="0037782A" w:rsidRPr="0037782A">
        <w:rPr>
          <w:i w:val="0"/>
          <w:sz w:val="20"/>
          <w:szCs w:val="20"/>
        </w:rPr>
        <w:t xml:space="preserve">. </w:t>
      </w:r>
      <w:r w:rsidR="004B7D16">
        <w:rPr>
          <w:i w:val="0"/>
          <w:sz w:val="20"/>
          <w:szCs w:val="20"/>
        </w:rPr>
        <w:t>This is the highest bias voltage ever achieved with an inverted-insulator design that offers practical advantages over other designs that employ large cylindrical insulators.</w:t>
      </w:r>
      <w:r w:rsidR="0037782A" w:rsidRPr="0037782A">
        <w:rPr>
          <w:i w:val="0"/>
          <w:sz w:val="20"/>
          <w:szCs w:val="20"/>
        </w:rPr>
        <w:t xml:space="preserve"> The </w:t>
      </w:r>
      <w:r w:rsidR="004B7D16">
        <w:rPr>
          <w:i w:val="0"/>
          <w:sz w:val="20"/>
          <w:szCs w:val="20"/>
        </w:rPr>
        <w:t>triple-point-junction screening electrode served to linearize the potential across the ins</w:t>
      </w:r>
      <w:r w:rsidR="004B7D16">
        <w:rPr>
          <w:i w:val="0"/>
          <w:sz w:val="20"/>
          <w:szCs w:val="20"/>
        </w:rPr>
        <w:t>u</w:t>
      </w:r>
      <w:r w:rsidR="004B7D16">
        <w:rPr>
          <w:i w:val="0"/>
          <w:sz w:val="20"/>
          <w:szCs w:val="20"/>
        </w:rPr>
        <w:t xml:space="preserve">lator and does not appear to adversely affect beam quality.  The first alkali-antimonide </w:t>
      </w:r>
      <w:r w:rsidR="00A96556">
        <w:rPr>
          <w:i w:val="0"/>
          <w:sz w:val="20"/>
          <w:szCs w:val="20"/>
        </w:rPr>
        <w:t>photocath</w:t>
      </w:r>
      <w:r w:rsidR="004B7D16">
        <w:rPr>
          <w:i w:val="0"/>
          <w:sz w:val="20"/>
          <w:szCs w:val="20"/>
        </w:rPr>
        <w:t>odes manufactured at Jefferson Lab and used to deliver milliampere beam exhibit low thermal emittance values</w:t>
      </w:r>
      <w:r w:rsidR="0037782A" w:rsidRPr="0037782A">
        <w:rPr>
          <w:i w:val="0"/>
          <w:sz w:val="20"/>
          <w:szCs w:val="20"/>
        </w:rPr>
        <w:t xml:space="preserve"> compared to the published data.</w:t>
      </w:r>
      <w:r w:rsidR="004B7D16">
        <w:rPr>
          <w:i w:val="0"/>
          <w:sz w:val="20"/>
          <w:szCs w:val="20"/>
        </w:rPr>
        <w:t xml:space="preserve"> Future studies will investigate photocat</w:t>
      </w:r>
      <w:r w:rsidR="004B7D16">
        <w:rPr>
          <w:i w:val="0"/>
          <w:sz w:val="20"/>
          <w:szCs w:val="20"/>
        </w:rPr>
        <w:t>h</w:t>
      </w:r>
      <w:r w:rsidR="004B7D16">
        <w:rPr>
          <w:i w:val="0"/>
          <w:sz w:val="20"/>
          <w:szCs w:val="20"/>
        </w:rPr>
        <w:t xml:space="preserve">ode recipes that provide rough photocathode surfaces, to investigate the impact on beam quality. </w:t>
      </w:r>
    </w:p>
    <w:p w:rsidR="00A265E1" w:rsidRPr="00A265E1" w:rsidRDefault="0037782A" w:rsidP="00DC4A14">
      <w:pPr>
        <w:pStyle w:val="JACoWSubsectionHeading"/>
        <w:jc w:val="center"/>
        <w:rPr>
          <w:rFonts w:cs="Times New Roman"/>
          <w:bCs w:val="0"/>
          <w:i w:val="0"/>
          <w:sz w:val="20"/>
          <w:szCs w:val="20"/>
        </w:rPr>
      </w:pPr>
      <w:r w:rsidRPr="00A265E1">
        <w:rPr>
          <w:b/>
          <w:i w:val="0"/>
        </w:rPr>
        <w:t>ACKNOWLEDGEMENTS</w:t>
      </w:r>
    </w:p>
    <w:p w:rsidR="0037782A" w:rsidRPr="00420481" w:rsidRDefault="0034789F" w:rsidP="00420481">
      <w:pPr>
        <w:pStyle w:val="JACoWBodyTextIndent"/>
      </w:pPr>
      <w:r w:rsidRPr="00DC4A14">
        <w:rPr>
          <w:rFonts w:ascii="Times" w:eastAsia="SimSun" w:hAnsi="Times" w:cs="Times"/>
        </w:rPr>
        <w:t>Authored by Jefferson Science Associates, LLC under U.S. DOE Contract No. DE-AC05-06OR23177</w:t>
      </w:r>
      <w:r>
        <w:rPr>
          <w:rFonts w:ascii="Times" w:eastAsia="SimSun" w:hAnsi="Times" w:cs="Times"/>
        </w:rPr>
        <w:t xml:space="preserve"> and su</w:t>
      </w:r>
      <w:r>
        <w:rPr>
          <w:rFonts w:ascii="Times" w:eastAsia="SimSun" w:hAnsi="Times" w:cs="Times"/>
        </w:rPr>
        <w:t>p</w:t>
      </w:r>
      <w:r>
        <w:rPr>
          <w:rFonts w:ascii="Times" w:eastAsia="SimSun" w:hAnsi="Times" w:cs="Times"/>
        </w:rPr>
        <w:t xml:space="preserve">ported by </w:t>
      </w:r>
      <w:r w:rsidRPr="0037782A">
        <w:t>Laboratory Directed Research and Develo</w:t>
      </w:r>
      <w:r w:rsidRPr="0037782A">
        <w:t>p</w:t>
      </w:r>
      <w:r w:rsidRPr="0037782A">
        <w:t>ment funding</w:t>
      </w:r>
      <w:r w:rsidRPr="00DC4A14">
        <w:rPr>
          <w:rFonts w:ascii="Times" w:eastAsia="SimSun" w:hAnsi="Times" w:cs="Times"/>
        </w:rPr>
        <w:t>. The U.S. Government retains a non-exclusive, paid-up, irrevocable, world-wide license to publish or reproduce this manuscript for U.S. Government purposes.</w:t>
      </w:r>
    </w:p>
    <w:p w:rsidR="0037782A" w:rsidRPr="0037782A" w:rsidRDefault="0037782A" w:rsidP="0037782A">
      <w:pPr>
        <w:pStyle w:val="JACoWSubsectionHeading"/>
        <w:jc w:val="center"/>
        <w:rPr>
          <w:b/>
          <w:i w:val="0"/>
        </w:rPr>
      </w:pPr>
      <w:r w:rsidRPr="0037782A">
        <w:rPr>
          <w:b/>
          <w:i w:val="0"/>
        </w:rPr>
        <w:lastRenderedPageBreak/>
        <w:t>REFERENCES</w:t>
      </w:r>
    </w:p>
    <w:p w:rsidR="00360C3F" w:rsidRPr="001B6F64" w:rsidRDefault="0037782A" w:rsidP="00A96556">
      <w:pPr>
        <w:pStyle w:val="JACoWSubsectionHeading"/>
        <w:rPr>
          <w:rFonts w:cs="Times New Roman"/>
          <w:i w:val="0"/>
          <w:sz w:val="18"/>
          <w:szCs w:val="18"/>
        </w:rPr>
      </w:pPr>
      <w:r w:rsidRPr="001B6F64">
        <w:rPr>
          <w:rFonts w:cs="Times New Roman"/>
          <w:i w:val="0"/>
          <w:sz w:val="18"/>
          <w:szCs w:val="18"/>
        </w:rPr>
        <w:t xml:space="preserve">[1] </w:t>
      </w:r>
      <w:r w:rsidR="00360C3F" w:rsidRPr="001B6F64">
        <w:rPr>
          <w:rFonts w:cs="Times New Roman"/>
          <w:i w:val="0"/>
          <w:sz w:val="18"/>
          <w:szCs w:val="18"/>
        </w:rPr>
        <w:t>C. Hernandez-Garcia, T. Siggins, S. Benson, D. Bullard, H. F. Dylla, K. Jordan, C. Murray, G. R. Neil, M. Shinn, and R. Walker, “A high average current dc GaAs photocath</w:t>
      </w:r>
      <w:r w:rsidR="00C3566C" w:rsidRPr="001B6F64">
        <w:rPr>
          <w:rFonts w:cs="Times New Roman"/>
          <w:i w:val="0"/>
          <w:sz w:val="18"/>
          <w:szCs w:val="18"/>
        </w:rPr>
        <w:t>o</w:t>
      </w:r>
      <w:r w:rsidR="00360C3F" w:rsidRPr="001B6F64">
        <w:rPr>
          <w:rFonts w:cs="Times New Roman"/>
          <w:i w:val="0"/>
          <w:sz w:val="18"/>
          <w:szCs w:val="18"/>
        </w:rPr>
        <w:t>de gun for ERLs and FELs”, Proceedings of the 2005 Particle Accelerator Conference, Knowxville, TN, USA, pp. 3117-3119, 2005</w:t>
      </w:r>
    </w:p>
    <w:p w:rsidR="00E96131" w:rsidRPr="001B6F64" w:rsidRDefault="00360C3F" w:rsidP="00E96131">
      <w:pPr>
        <w:pStyle w:val="JACoWSubsectionHeading"/>
        <w:rPr>
          <w:rFonts w:cs="Times New Roman"/>
          <w:i w:val="0"/>
          <w:sz w:val="18"/>
          <w:szCs w:val="18"/>
        </w:rPr>
      </w:pPr>
      <w:r w:rsidRPr="001B6F64">
        <w:rPr>
          <w:rFonts w:cs="Times New Roman"/>
          <w:i w:val="0"/>
          <w:sz w:val="18"/>
          <w:szCs w:val="18"/>
        </w:rPr>
        <w:t xml:space="preserve">[2] </w:t>
      </w:r>
      <w:r w:rsidR="00A96556" w:rsidRPr="001B6F64">
        <w:rPr>
          <w:rFonts w:cs="Times New Roman"/>
          <w:i w:val="0"/>
          <w:sz w:val="18"/>
          <w:szCs w:val="18"/>
        </w:rPr>
        <w:t xml:space="preserve">G. R. Neil, C. Behere, S. V. Benson, M. Bevins, G. Biallas, J. Boyce, J. Coleman, L. A. Dillon-Townes, D. Douglas, H. F. Dylla, R. Evans, A. Grippo, D. Gruber, J. Gubeli, D. Hardy, C. Hernandez-Garcia, K, Jordan, M. J. Kelley, L. Merminga, J. Mammosser, W. Moore, N. Nishimori, E. Pozdeyev, J. Preble, R. Rimmer, M. Shinn, T. Siggins, C. Tennant, R. Walker, G. P. Williams, S. Zhang, </w:t>
      </w:r>
      <w:r w:rsidRPr="001B6F64">
        <w:rPr>
          <w:rFonts w:cs="Times New Roman"/>
          <w:i w:val="0"/>
          <w:sz w:val="18"/>
          <w:szCs w:val="18"/>
        </w:rPr>
        <w:t>“</w:t>
      </w:r>
      <w:r w:rsidR="00A96556" w:rsidRPr="001B6F64">
        <w:rPr>
          <w:rFonts w:cs="Times New Roman"/>
          <w:i w:val="0"/>
          <w:sz w:val="18"/>
          <w:szCs w:val="18"/>
        </w:rPr>
        <w:t>The JLab high power ERL light source</w:t>
      </w:r>
      <w:r w:rsidRPr="001B6F64">
        <w:rPr>
          <w:rFonts w:cs="Times New Roman"/>
          <w:i w:val="0"/>
          <w:sz w:val="18"/>
          <w:szCs w:val="18"/>
        </w:rPr>
        <w:t>”</w:t>
      </w:r>
      <w:r w:rsidR="00A96556" w:rsidRPr="001B6F64">
        <w:rPr>
          <w:rFonts w:cs="Times New Roman"/>
          <w:i w:val="0"/>
          <w:sz w:val="18"/>
          <w:szCs w:val="18"/>
        </w:rPr>
        <w:t xml:space="preserve">, Nucl. </w:t>
      </w:r>
      <w:r w:rsidR="00C77DA8" w:rsidRPr="001B6F64">
        <w:rPr>
          <w:rFonts w:cs="Times New Roman"/>
          <w:i w:val="0"/>
          <w:sz w:val="18"/>
          <w:szCs w:val="18"/>
        </w:rPr>
        <w:t xml:space="preserve">Intstr. Meth. A </w:t>
      </w:r>
      <w:r w:rsidR="00C77DA8" w:rsidRPr="001B6F64">
        <w:rPr>
          <w:rFonts w:cs="Times New Roman"/>
          <w:b/>
          <w:i w:val="0"/>
          <w:sz w:val="18"/>
          <w:szCs w:val="18"/>
        </w:rPr>
        <w:t>557</w:t>
      </w:r>
      <w:r w:rsidR="00C77DA8" w:rsidRPr="001B6F64">
        <w:rPr>
          <w:rFonts w:cs="Times New Roman"/>
          <w:i w:val="0"/>
          <w:sz w:val="18"/>
          <w:szCs w:val="18"/>
        </w:rPr>
        <w:t xml:space="preserve"> 9, (2006)</w:t>
      </w:r>
    </w:p>
    <w:p w:rsidR="00E96131" w:rsidRPr="001B6F64" w:rsidRDefault="00360C3F" w:rsidP="00E96131">
      <w:pPr>
        <w:pStyle w:val="JACoWSubsectionHeading"/>
        <w:rPr>
          <w:rFonts w:cs="Times New Roman"/>
          <w:i w:val="0"/>
          <w:sz w:val="18"/>
          <w:szCs w:val="18"/>
        </w:rPr>
      </w:pPr>
      <w:r w:rsidRPr="001B6F64">
        <w:rPr>
          <w:i w:val="0"/>
          <w:sz w:val="18"/>
          <w:szCs w:val="18"/>
        </w:rPr>
        <w:t xml:space="preserve">[3] </w:t>
      </w:r>
      <w:r w:rsidR="00E96131" w:rsidRPr="001B6F64">
        <w:rPr>
          <w:i w:val="0"/>
          <w:sz w:val="18"/>
          <w:szCs w:val="18"/>
        </w:rPr>
        <w:t>S. Benson, Ya. Derbenev, D. Douglas, F. Hannon, A. Hutton, R. Li, R. Rimmer, Y. Roblin, C. Tennant, H. Wang, H. Zhang, Y. Zhang, “Development of a bunched-beam electron cooler based on ERL and Circulator Ring technology for the Jefferson Lab Electron-Ion Collider”, 11th Workshop on Beam Cooling and Related Topics, COOL2017, Bonn, Germany, JACoW Publis</w:t>
      </w:r>
      <w:r w:rsidR="00E96131" w:rsidRPr="001B6F64">
        <w:rPr>
          <w:i w:val="0"/>
          <w:sz w:val="18"/>
          <w:szCs w:val="18"/>
        </w:rPr>
        <w:t>h</w:t>
      </w:r>
      <w:r w:rsidR="00E96131" w:rsidRPr="001B6F64">
        <w:rPr>
          <w:i w:val="0"/>
          <w:sz w:val="18"/>
          <w:szCs w:val="18"/>
        </w:rPr>
        <w:t>ing ISBN: 978-3-95450-198-4, doi: 10.18429/JACoW-COOL2017-WEM12</w:t>
      </w:r>
    </w:p>
    <w:p w:rsidR="00360C3F" w:rsidRPr="001B6F64" w:rsidRDefault="00E96131" w:rsidP="00E96131">
      <w:pPr>
        <w:pStyle w:val="JACoWBodyTextIndent"/>
        <w:ind w:firstLine="0"/>
        <w:rPr>
          <w:sz w:val="18"/>
          <w:szCs w:val="18"/>
        </w:rPr>
      </w:pPr>
      <w:r w:rsidRPr="001B6F64">
        <w:rPr>
          <w:sz w:val="18"/>
          <w:szCs w:val="18"/>
        </w:rPr>
        <w:t xml:space="preserve"> </w:t>
      </w:r>
      <w:r w:rsidR="00360C3F" w:rsidRPr="001B6F64">
        <w:rPr>
          <w:sz w:val="18"/>
          <w:szCs w:val="18"/>
        </w:rPr>
        <w:t>[4] P. A. Adderley, J. Clark, J. Grames, J. Hansknecht, K. Surles-Law, D. Machie, M. Poelker, M. L. Stutzman, and R. Suleiman, “Load-locked dc high voltage GaAs pho</w:t>
      </w:r>
      <w:r w:rsidR="00C3566C" w:rsidRPr="001B6F64">
        <w:rPr>
          <w:sz w:val="18"/>
          <w:szCs w:val="18"/>
        </w:rPr>
        <w:t>togun with an inverted-geome</w:t>
      </w:r>
      <w:r w:rsidR="00360C3F" w:rsidRPr="001B6F64">
        <w:rPr>
          <w:sz w:val="18"/>
          <w:szCs w:val="18"/>
        </w:rPr>
        <w:t xml:space="preserve">try ceramic insulator”, Phys. Rev. ST Accel. Beams </w:t>
      </w:r>
      <w:r w:rsidR="00360C3F" w:rsidRPr="001B6F64">
        <w:rPr>
          <w:b/>
          <w:sz w:val="18"/>
          <w:szCs w:val="18"/>
        </w:rPr>
        <w:t>13</w:t>
      </w:r>
      <w:r w:rsidR="00360C3F" w:rsidRPr="001B6F64">
        <w:rPr>
          <w:sz w:val="18"/>
          <w:szCs w:val="18"/>
        </w:rPr>
        <w:t xml:space="preserve">, 010101 </w:t>
      </w:r>
      <w:r w:rsidR="00C77DA8" w:rsidRPr="001B6F64">
        <w:rPr>
          <w:sz w:val="18"/>
          <w:szCs w:val="18"/>
        </w:rPr>
        <w:t>(2010)</w:t>
      </w:r>
    </w:p>
    <w:p w:rsidR="00360C3F" w:rsidRPr="001B6F64" w:rsidRDefault="00360C3F" w:rsidP="00360C3F">
      <w:pPr>
        <w:pStyle w:val="JACoWSubsectionHeading"/>
        <w:rPr>
          <w:rFonts w:cs="Times New Roman"/>
          <w:i w:val="0"/>
          <w:sz w:val="18"/>
          <w:szCs w:val="18"/>
        </w:rPr>
      </w:pPr>
      <w:r w:rsidRPr="001B6F64">
        <w:rPr>
          <w:rFonts w:cs="Times New Roman"/>
          <w:i w:val="0"/>
          <w:sz w:val="18"/>
          <w:szCs w:val="18"/>
        </w:rPr>
        <w:t>[5] K. Halbach, “LANL SUPERFISH”, Lawrence Livermore National Laboratory Techni</w:t>
      </w:r>
      <w:r w:rsidR="00E96131" w:rsidRPr="001B6F64">
        <w:rPr>
          <w:rFonts w:cs="Times New Roman"/>
          <w:i w:val="0"/>
          <w:sz w:val="18"/>
          <w:szCs w:val="18"/>
        </w:rPr>
        <w:t>cal Report No. UCRL-17436, 1967</w:t>
      </w:r>
    </w:p>
    <w:p w:rsidR="00E96131" w:rsidRPr="001B6F64" w:rsidRDefault="00360C3F" w:rsidP="00E96131">
      <w:pPr>
        <w:pStyle w:val="JACoWSubsectionHeading"/>
        <w:rPr>
          <w:rFonts w:cs="Times New Roman"/>
          <w:i w:val="0"/>
          <w:sz w:val="18"/>
          <w:szCs w:val="18"/>
        </w:rPr>
      </w:pPr>
      <w:r w:rsidRPr="001B6F64">
        <w:rPr>
          <w:rFonts w:cs="Times New Roman"/>
          <w:i w:val="0"/>
          <w:sz w:val="18"/>
          <w:szCs w:val="18"/>
        </w:rPr>
        <w:t>[6] M. BastaniNejad, A. A. Elmustafa, E. Forman, J. Clark, S. Covert, J. Grames, J. Hansknecht, C. Hernandez-Garcia, M. Poelker and R. Suleiman, Improving the performance of stai</w:t>
      </w:r>
      <w:r w:rsidRPr="001B6F64">
        <w:rPr>
          <w:rFonts w:cs="Times New Roman"/>
          <w:i w:val="0"/>
          <w:sz w:val="18"/>
          <w:szCs w:val="18"/>
        </w:rPr>
        <w:t>n</w:t>
      </w:r>
      <w:r w:rsidRPr="001B6F64">
        <w:rPr>
          <w:rFonts w:cs="Times New Roman"/>
          <w:i w:val="0"/>
          <w:sz w:val="18"/>
          <w:szCs w:val="18"/>
        </w:rPr>
        <w:t xml:space="preserve">less-steel DC high voltage photoelectron gun cathode electrodes via gas conditioning with helium or krypton, Nucl. Instr. and Meth. in Phys. Res. A, Vol. </w:t>
      </w:r>
      <w:r w:rsidRPr="001B6F64">
        <w:rPr>
          <w:rFonts w:cs="Times New Roman"/>
          <w:b/>
          <w:i w:val="0"/>
          <w:sz w:val="18"/>
          <w:szCs w:val="18"/>
        </w:rPr>
        <w:t>762</w:t>
      </w:r>
      <w:r w:rsidRPr="001B6F64">
        <w:rPr>
          <w:rFonts w:cs="Times New Roman"/>
          <w:i w:val="0"/>
          <w:sz w:val="18"/>
          <w:szCs w:val="18"/>
        </w:rPr>
        <w:t>, pp. 135–141, 2014</w:t>
      </w:r>
    </w:p>
    <w:p w:rsidR="00E96131" w:rsidRPr="001B6F64" w:rsidRDefault="00360C3F" w:rsidP="00E96131">
      <w:pPr>
        <w:pStyle w:val="JACoWSubsectionHeading"/>
        <w:rPr>
          <w:i w:val="0"/>
          <w:sz w:val="18"/>
          <w:szCs w:val="18"/>
        </w:rPr>
      </w:pPr>
      <w:r w:rsidRPr="001B6F64">
        <w:rPr>
          <w:i w:val="0"/>
          <w:sz w:val="18"/>
          <w:szCs w:val="18"/>
        </w:rPr>
        <w:t xml:space="preserve">[7] </w:t>
      </w:r>
      <w:r w:rsidR="00E96131" w:rsidRPr="001B6F64">
        <w:rPr>
          <w:i w:val="0"/>
          <w:sz w:val="18"/>
          <w:szCs w:val="18"/>
        </w:rPr>
        <w:t>Md Abdullah A. Mamun, Abdelmageed A. Elmustafa, Carlos Hernandez-Garcia, Russell Mammei, and Matthew Poelker, "</w:t>
      </w:r>
      <w:r w:rsidR="00E96131" w:rsidRPr="001B6F64">
        <w:rPr>
          <w:i w:val="0"/>
          <w:iCs/>
          <w:sz w:val="18"/>
          <w:szCs w:val="18"/>
        </w:rPr>
        <w:t>Effect of Sb thickness on the performance of bialkali-antimonide photocathodes</w:t>
      </w:r>
      <w:r w:rsidR="00E96131" w:rsidRPr="001B6F64">
        <w:rPr>
          <w:i w:val="0"/>
          <w:sz w:val="18"/>
          <w:szCs w:val="18"/>
        </w:rPr>
        <w:t xml:space="preserve">", J. Vac. Sci. Technol. A </w:t>
      </w:r>
      <w:r w:rsidR="00E96131" w:rsidRPr="001B6F64">
        <w:rPr>
          <w:b/>
          <w:bCs w:val="0"/>
          <w:i w:val="0"/>
          <w:sz w:val="18"/>
          <w:szCs w:val="18"/>
        </w:rPr>
        <w:t>34</w:t>
      </w:r>
      <w:r w:rsidR="00E96131" w:rsidRPr="001B6F64">
        <w:rPr>
          <w:i w:val="0"/>
          <w:sz w:val="18"/>
          <w:szCs w:val="18"/>
        </w:rPr>
        <w:t xml:space="preserve"> 021509 (2016)</w:t>
      </w:r>
    </w:p>
    <w:p w:rsidR="00360C3F" w:rsidRPr="001B6F64" w:rsidRDefault="00360C3F" w:rsidP="00E96131">
      <w:pPr>
        <w:pStyle w:val="JACoWSubsectionHeading"/>
        <w:rPr>
          <w:rFonts w:cs="Times New Roman"/>
          <w:i w:val="0"/>
          <w:sz w:val="18"/>
          <w:szCs w:val="18"/>
        </w:rPr>
      </w:pPr>
      <w:r w:rsidRPr="001B6F64">
        <w:rPr>
          <w:rFonts w:cs="Times New Roman"/>
          <w:i w:val="0"/>
          <w:sz w:val="18"/>
          <w:szCs w:val="18"/>
        </w:rPr>
        <w:t xml:space="preserve">[8] </w:t>
      </w:r>
      <w:r w:rsidR="0037782A" w:rsidRPr="001B6F64">
        <w:rPr>
          <w:rFonts w:cs="Times New Roman"/>
          <w:i w:val="0"/>
          <w:sz w:val="18"/>
          <w:szCs w:val="18"/>
        </w:rPr>
        <w:t>Ivan Bazarov</w:t>
      </w:r>
      <w:r w:rsidRPr="001B6F64">
        <w:rPr>
          <w:rFonts w:cs="Times New Roman"/>
          <w:i w:val="0"/>
          <w:sz w:val="18"/>
          <w:szCs w:val="18"/>
        </w:rPr>
        <w:t>,</w:t>
      </w:r>
      <w:r w:rsidR="0037782A" w:rsidRPr="001B6F64">
        <w:rPr>
          <w:rFonts w:cs="Times New Roman"/>
          <w:i w:val="0"/>
          <w:sz w:val="18"/>
          <w:szCs w:val="18"/>
        </w:rPr>
        <w:t xml:space="preserve"> et al., </w:t>
      </w:r>
      <w:r w:rsidRPr="001B6F64">
        <w:rPr>
          <w:rFonts w:cs="Times New Roman"/>
          <w:i w:val="0"/>
          <w:sz w:val="18"/>
          <w:szCs w:val="18"/>
        </w:rPr>
        <w:t>“</w:t>
      </w:r>
      <w:r w:rsidR="0037782A" w:rsidRPr="001B6F64">
        <w:rPr>
          <w:rFonts w:cs="Times New Roman"/>
          <w:i w:val="0"/>
          <w:sz w:val="18"/>
          <w:szCs w:val="18"/>
        </w:rPr>
        <w:t>Thermal emittance measurements of a cesium potassium antimonide photocathode</w:t>
      </w:r>
      <w:r w:rsidRPr="001B6F64">
        <w:rPr>
          <w:rFonts w:cs="Times New Roman"/>
          <w:i w:val="0"/>
          <w:sz w:val="18"/>
          <w:szCs w:val="18"/>
        </w:rPr>
        <w:t>”</w:t>
      </w:r>
      <w:r w:rsidR="0037782A" w:rsidRPr="001B6F64">
        <w:rPr>
          <w:rFonts w:cs="Times New Roman"/>
          <w:i w:val="0"/>
          <w:sz w:val="18"/>
          <w:szCs w:val="18"/>
        </w:rPr>
        <w:t xml:space="preserve">, Appl. Phys. Lett. </w:t>
      </w:r>
      <w:r w:rsidR="0037782A" w:rsidRPr="001B6F64">
        <w:rPr>
          <w:rFonts w:cs="Times New Roman"/>
          <w:b/>
          <w:i w:val="0"/>
          <w:sz w:val="18"/>
          <w:szCs w:val="18"/>
        </w:rPr>
        <w:t>98</w:t>
      </w:r>
      <w:r w:rsidR="0037782A" w:rsidRPr="001B6F64">
        <w:rPr>
          <w:rFonts w:cs="Times New Roman"/>
          <w:i w:val="0"/>
          <w:sz w:val="18"/>
          <w:szCs w:val="18"/>
        </w:rPr>
        <w:t>, 224101 (2011)</w:t>
      </w:r>
      <w:r w:rsidRPr="001B6F64">
        <w:rPr>
          <w:rFonts w:cs="Times New Roman"/>
          <w:i w:val="0"/>
          <w:sz w:val="18"/>
          <w:szCs w:val="18"/>
        </w:rPr>
        <w:t>.</w:t>
      </w:r>
    </w:p>
    <w:p w:rsidR="00360C3F" w:rsidRPr="001B6F64" w:rsidRDefault="00360C3F" w:rsidP="00E96131">
      <w:pPr>
        <w:pStyle w:val="JACoWSubsectionHeading"/>
        <w:rPr>
          <w:i w:val="0"/>
          <w:sz w:val="18"/>
          <w:szCs w:val="18"/>
        </w:rPr>
      </w:pPr>
      <w:r w:rsidRPr="001B6F64">
        <w:rPr>
          <w:i w:val="0"/>
          <w:sz w:val="18"/>
          <w:szCs w:val="18"/>
        </w:rPr>
        <w:t xml:space="preserve">[9] </w:t>
      </w:r>
      <w:r w:rsidR="00E96131" w:rsidRPr="001B6F64">
        <w:rPr>
          <w:i w:val="0"/>
          <w:sz w:val="18"/>
          <w:szCs w:val="18"/>
        </w:rPr>
        <w:t xml:space="preserve">B. Dunham, A. Bartnik, I. Bazarov, L. Cultrera, J. Dobbins, G. Hoffstaetter, B. Johnson, R. Kaplan, V. Kostroun, S. Karkare, Y. Li, M. Liepe, X. Liu, F. Loehl, J. Maxson, P. Quigley, J. Reilly, D. Rice, D. Sobol, E. Smith, K. Smolenski, M. Tigner, V. Veshcherevich, Z. Zhao, "Record high-average current from a high-brightness photoinjector", Appl. Phys. Lett. </w:t>
      </w:r>
      <w:r w:rsidR="00E96131" w:rsidRPr="001B6F64">
        <w:rPr>
          <w:b/>
          <w:i w:val="0"/>
          <w:sz w:val="18"/>
          <w:szCs w:val="18"/>
        </w:rPr>
        <w:t>102</w:t>
      </w:r>
      <w:r w:rsidR="00E96131" w:rsidRPr="001B6F64">
        <w:rPr>
          <w:i w:val="0"/>
          <w:sz w:val="18"/>
          <w:szCs w:val="18"/>
        </w:rPr>
        <w:t>, 034105 (2013)</w:t>
      </w:r>
    </w:p>
    <w:p w:rsidR="008C1AA1" w:rsidRPr="001B6F64" w:rsidRDefault="00360C3F" w:rsidP="00E96131">
      <w:pPr>
        <w:pStyle w:val="JACoWSubsectionHeading"/>
        <w:rPr>
          <w:rFonts w:cs="Times New Roman"/>
          <w:i w:val="0"/>
          <w:sz w:val="18"/>
          <w:szCs w:val="18"/>
        </w:rPr>
      </w:pPr>
      <w:r w:rsidRPr="001B6F64">
        <w:rPr>
          <w:i w:val="0"/>
          <w:sz w:val="18"/>
          <w:szCs w:val="18"/>
        </w:rPr>
        <w:t xml:space="preserve">[10] </w:t>
      </w:r>
      <w:r w:rsidR="00E96131" w:rsidRPr="001B6F64">
        <w:rPr>
          <w:i w:val="0"/>
          <w:sz w:val="18"/>
          <w:szCs w:val="18"/>
        </w:rPr>
        <w:t xml:space="preserve">S. Full, A. Bartnik, I.V. Bazarov, J. Dobbins, B. Dunham, G.H. Hoffstaetter, "Detection and clearing of trapped ions in the high current Cornell photoinjector", Phys. Rev. Accel. and Beams </w:t>
      </w:r>
      <w:r w:rsidR="00E96131" w:rsidRPr="001B6F64">
        <w:rPr>
          <w:b/>
          <w:i w:val="0"/>
          <w:sz w:val="18"/>
          <w:szCs w:val="18"/>
        </w:rPr>
        <w:t>19,</w:t>
      </w:r>
      <w:r w:rsidR="00E96131" w:rsidRPr="001B6F64">
        <w:rPr>
          <w:i w:val="0"/>
          <w:sz w:val="18"/>
          <w:szCs w:val="18"/>
        </w:rPr>
        <w:t xml:space="preserve"> 034201 (2016)</w:t>
      </w:r>
    </w:p>
    <w:sectPr w:rsidR="008C1AA1" w:rsidRPr="001B6F64" w:rsidSect="00D90022">
      <w:footnotePr>
        <w:pos w:val="beneathText"/>
        <w:numFmt w:val="chicago"/>
      </w:footnotePr>
      <w:endnotePr>
        <w:numFmt w:val="decimal"/>
      </w:endnotePr>
      <w:type w:val="continuous"/>
      <w:pgSz w:w="11907" w:h="16840" w:code="9"/>
      <w:pgMar w:top="2098" w:right="1134" w:bottom="1077"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50B" w:rsidRDefault="0017750B"/>
  </w:endnote>
  <w:endnote w:type="continuationSeparator" w:id="0">
    <w:p w:rsidR="0017750B" w:rsidRDefault="00177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B38E68A6-5959-4DDD-9562-BF79018DF864}"/>
  </w:font>
  <w:font w:name="Times New Roman">
    <w:panose1 w:val="02020603050405020304"/>
    <w:charset w:val="00"/>
    <w:family w:val="roman"/>
    <w:pitch w:val="variable"/>
    <w:sig w:usb0="E0002AFF" w:usb1="C0007841" w:usb2="00000009" w:usb3="00000000" w:csb0="000001FF" w:csb1="00000000"/>
    <w:embedRegular r:id="rId2" w:fontKey="{1D38129F-778E-4FFD-9C8F-2C2F6AA3844F}"/>
    <w:embedBold r:id="rId3" w:fontKey="{F49A4797-3CDF-448B-AFDB-385577059AD5}"/>
    <w:embedItalic r:id="rId4" w:fontKey="{B8A5CC1B-6BD3-42BF-ABE4-5D4C834E3528}"/>
    <w:embedBoldItalic r:id="rId5" w:fontKey="{B2756EDE-BEBB-4C92-964E-7A22E5ECC8AC}"/>
  </w:font>
  <w:font w:name="Courier New">
    <w:panose1 w:val="02070309020205020404"/>
    <w:charset w:val="00"/>
    <w:family w:val="modern"/>
    <w:pitch w:val="fixed"/>
    <w:sig w:usb0="E0002AFF" w:usb1="C0007843" w:usb2="00000009" w:usb3="00000000" w:csb0="000001FF" w:csb1="00000000"/>
    <w:embedRegular r:id="rId6" w:fontKey="{B5B9D1D4-C3A6-4E74-AE05-A9073FDE0D6B}"/>
  </w:font>
  <w:font w:name="Wingdings">
    <w:panose1 w:val="05000000000000000000"/>
    <w:charset w:val="02"/>
    <w:family w:val="auto"/>
    <w:pitch w:val="variable"/>
    <w:sig w:usb0="00000000" w:usb1="10000000" w:usb2="00000000" w:usb3="00000000" w:csb0="80000000" w:csb1="00000000"/>
    <w:embedRegular r:id="rId7" w:fontKey="{3F68205F-66E2-4E47-8735-02D39911BEAD}"/>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8" w:fontKey="{E0D7B602-8CD0-45CA-9CE3-3FB2B1CC13AD}"/>
    <w:embedBold r:id="rId9" w:fontKey="{1C7CA5BD-8BE0-4C0B-B281-D0A68DAEB8A7}"/>
    <w:embedBoldItalic r:id="rId10" w:fontKey="{1D55EAA5-B7B5-45E8-B420-ACD60D5BF62E}"/>
  </w:font>
  <w:font w:name="Cambria">
    <w:panose1 w:val="02040503050406030204"/>
    <w:charset w:val="00"/>
    <w:family w:val="roman"/>
    <w:pitch w:val="variable"/>
    <w:sig w:usb0="E00002FF" w:usb1="400004FF" w:usb2="00000000" w:usb3="00000000" w:csb0="0000019F" w:csb1="00000000"/>
    <w:embedRegular r:id="rId11" w:fontKey="{0D7B53E9-8A52-4A4C-BC6C-5162BEE96FE4}"/>
    <w:embedBold r:id="rId12" w:fontKey="{AC36F0EB-2698-40FA-A334-C0AEADBFA701}"/>
    <w:embedItalic r:id="rId13" w:fontKey="{ADAE7A8A-CB2B-423B-A0C6-9A34F61B05AC}"/>
    <w:embedBoldItalic r:id="rId14" w:fontKey="{463A89BB-5AB2-465B-8F8A-F786E2BD388C}"/>
  </w:font>
  <w:font w:name="SimSun">
    <w:altName w:val="宋体"/>
    <w:panose1 w:val="02010600030101010101"/>
    <w:charset w:val="86"/>
    <w:family w:val="auto"/>
    <w:pitch w:val="variable"/>
    <w:sig w:usb0="00000003" w:usb1="288F0000" w:usb2="00000016" w:usb3="00000000" w:csb0="00040001" w:csb1="00000000"/>
  </w:font>
  <w:font w:name="Lucida Sans Typewriter">
    <w:panose1 w:val="020B0509030504030204"/>
    <w:charset w:val="00"/>
    <w:family w:val="modern"/>
    <w:pitch w:val="fixed"/>
    <w:sig w:usb0="00000003" w:usb1="00000000" w:usb2="00000000" w:usb3="00000000" w:csb0="00000001" w:csb1="00000000"/>
    <w:embedRegular r:id="rId15" w:fontKey="{49C8E740-BF24-4DA9-A551-681B56AF412F}"/>
  </w:font>
  <w:font w:name="Tahoma">
    <w:panose1 w:val="020B0604030504040204"/>
    <w:charset w:val="00"/>
    <w:family w:val="swiss"/>
    <w:pitch w:val="variable"/>
    <w:sig w:usb0="E1002EFF" w:usb1="C000605B" w:usb2="00000029" w:usb3="00000000" w:csb0="000101FF" w:csb1="00000000"/>
    <w:embedRegular r:id="rId16" w:fontKey="{B5DBFC29-BA22-4D95-B601-B812C8A30329}"/>
  </w:font>
  <w:font w:name="Consolas">
    <w:panose1 w:val="020B0609020204030204"/>
    <w:charset w:val="00"/>
    <w:family w:val="modern"/>
    <w:pitch w:val="fixed"/>
    <w:sig w:usb0="E10002FF" w:usb1="4000FCFF" w:usb2="00000009" w:usb3="00000000" w:csb0="0000019F" w:csb1="00000000"/>
    <w:embedRegular r:id="rId17" w:fontKey="{699E68F8-3957-4248-80B7-F586BBB4D920}"/>
  </w:font>
  <w:font w:name="Calibri">
    <w:panose1 w:val="020F0502020204030204"/>
    <w:charset w:val="00"/>
    <w:family w:val="swiss"/>
    <w:pitch w:val="variable"/>
    <w:sig w:usb0="E00002FF" w:usb1="4000ACFF" w:usb2="00000001" w:usb3="00000000" w:csb0="0000019F" w:csb1="00000000"/>
    <w:embedRegular r:id="rId18" w:fontKey="{3908E741-20E7-4973-A4F3-844C58FBF3C5}"/>
    <w:embedBold r:id="rId19" w:fontKey="{9B6ECAD7-A532-43BD-A9D0-4C0FFE11121A}"/>
    <w:embedItalic r:id="rId20" w:fontKey="{8A89656F-717C-4FE7-9B60-C844EE82DFB4}"/>
  </w:font>
  <w:font w:name="Times New Roman Bold">
    <w:panose1 w:val="02020803070505020304"/>
    <w:charset w:val="00"/>
    <w:family w:val="auto"/>
    <w:pitch w:val="variable"/>
    <w:sig w:usb0="E0002AFF" w:usb1="C0007841" w:usb2="00000009" w:usb3="00000000" w:csb0="000001FF" w:csb1="00000000"/>
    <w:embedBold r:id="rId21" w:fontKey="{DC5C0CC5-DB0E-4BF0-805C-3F0E499FF4D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50B" w:rsidRDefault="0017750B">
      <w:r>
        <w:separator/>
      </w:r>
    </w:p>
  </w:footnote>
  <w:footnote w:type="continuationSeparator" w:id="0">
    <w:p w:rsidR="0017750B" w:rsidRDefault="001775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5250934"/>
    <w:multiLevelType w:val="multilevel"/>
    <w:tmpl w:val="6A5A5FF8"/>
    <w:styleLink w:val="WWNum2"/>
    <w:lvl w:ilvl="0">
      <w:start w:val="1"/>
      <w:numFmt w:val="decimal"/>
      <w:pStyle w:val="bibliographytext"/>
      <w:lvlText w:val="[%1]"/>
      <w:lvlJc w:val="right"/>
      <w:rPr>
        <w:rFonts w:cs="Times New Roman"/>
        <w:sz w:val="2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5">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7046C2"/>
    <w:multiLevelType w:val="hybridMultilevel"/>
    <w:tmpl w:val="ECCCFE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9">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1">
    <w:nsid w:val="694A0248"/>
    <w:multiLevelType w:val="hybridMultilevel"/>
    <w:tmpl w:val="7BD620F6"/>
    <w:lvl w:ilvl="0" w:tplc="CCF4351E">
      <w:start w:val="1"/>
      <w:numFmt w:val="decimal"/>
      <w:pStyle w:val="JACoWNumberedlist"/>
      <w:lvlText w:val="%1."/>
      <w:lvlJc w:val="left"/>
      <w:pPr>
        <w:ind w:left="1749" w:hanging="360"/>
      </w:pPr>
      <w:rPr>
        <w:rFonts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E8905F5E">
      <w:start w:val="1"/>
      <w:numFmt w:val="decimal"/>
      <w:lvlText w:val="%4."/>
      <w:lvlJc w:val="left"/>
      <w:pPr>
        <w:ind w:left="1749" w:hanging="360"/>
      </w:pPr>
      <w:rPr>
        <w:rFonts w:hint="default"/>
        <w:b w:val="0"/>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num w:numId="1">
    <w:abstractNumId w:val="18"/>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19"/>
  </w:num>
  <w:num w:numId="17">
    <w:abstractNumId w:val="17"/>
  </w:num>
  <w:num w:numId="18">
    <w:abstractNumId w:val="14"/>
  </w:num>
  <w:num w:numId="19">
    <w:abstractNumId w:val="21"/>
  </w:num>
  <w:num w:numId="20">
    <w:abstractNumId w:val="15"/>
  </w:num>
  <w:num w:numId="21">
    <w:abstractNumId w:val="11"/>
  </w:num>
  <w:num w:numId="22">
    <w:abstractNumId w:val="11"/>
  </w:num>
  <w:num w:numId="23">
    <w:abstractNumId w:val="21"/>
  </w:num>
  <w:num w:numId="24">
    <w:abstractNumId w:val="16"/>
  </w:num>
  <w:num w:numId="25">
    <w:abstractNumId w:val="13"/>
  </w:num>
  <w:num w:numId="26">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embedSystemFonts/>
  <w:proofState w:spelling="clean" w:grammar="clean"/>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9C2"/>
    <w:rsid w:val="00000A76"/>
    <w:rsid w:val="00000DB8"/>
    <w:rsid w:val="00002360"/>
    <w:rsid w:val="000030C7"/>
    <w:rsid w:val="00007CCD"/>
    <w:rsid w:val="000120AA"/>
    <w:rsid w:val="00012754"/>
    <w:rsid w:val="00013861"/>
    <w:rsid w:val="00013ABB"/>
    <w:rsid w:val="00013D04"/>
    <w:rsid w:val="00020432"/>
    <w:rsid w:val="0002257C"/>
    <w:rsid w:val="00023333"/>
    <w:rsid w:val="000259C8"/>
    <w:rsid w:val="000264AD"/>
    <w:rsid w:val="00027273"/>
    <w:rsid w:val="000305F3"/>
    <w:rsid w:val="000312DC"/>
    <w:rsid w:val="000321B1"/>
    <w:rsid w:val="000322EF"/>
    <w:rsid w:val="000334AD"/>
    <w:rsid w:val="00041FEC"/>
    <w:rsid w:val="00042A9C"/>
    <w:rsid w:val="00042B73"/>
    <w:rsid w:val="0004508E"/>
    <w:rsid w:val="000460AE"/>
    <w:rsid w:val="00046DF1"/>
    <w:rsid w:val="00046FE8"/>
    <w:rsid w:val="00047219"/>
    <w:rsid w:val="00052CB4"/>
    <w:rsid w:val="00053CF4"/>
    <w:rsid w:val="00056950"/>
    <w:rsid w:val="00056E9E"/>
    <w:rsid w:val="00061CC1"/>
    <w:rsid w:val="000634BB"/>
    <w:rsid w:val="000643D5"/>
    <w:rsid w:val="00066F1A"/>
    <w:rsid w:val="00070532"/>
    <w:rsid w:val="00072FF4"/>
    <w:rsid w:val="0007331E"/>
    <w:rsid w:val="00074291"/>
    <w:rsid w:val="00074A20"/>
    <w:rsid w:val="0007678C"/>
    <w:rsid w:val="00077E50"/>
    <w:rsid w:val="0008212B"/>
    <w:rsid w:val="000836F2"/>
    <w:rsid w:val="00083FA2"/>
    <w:rsid w:val="00084085"/>
    <w:rsid w:val="000859BC"/>
    <w:rsid w:val="00087B99"/>
    <w:rsid w:val="00087D3D"/>
    <w:rsid w:val="00092076"/>
    <w:rsid w:val="000920EA"/>
    <w:rsid w:val="00094BA7"/>
    <w:rsid w:val="00096B6B"/>
    <w:rsid w:val="000974D8"/>
    <w:rsid w:val="000A1AED"/>
    <w:rsid w:val="000A1CA7"/>
    <w:rsid w:val="000A2162"/>
    <w:rsid w:val="000A2A9A"/>
    <w:rsid w:val="000B1371"/>
    <w:rsid w:val="000B7069"/>
    <w:rsid w:val="000C1534"/>
    <w:rsid w:val="000C1815"/>
    <w:rsid w:val="000C27C1"/>
    <w:rsid w:val="000C70F1"/>
    <w:rsid w:val="000C7727"/>
    <w:rsid w:val="000D0EE2"/>
    <w:rsid w:val="000D3DAF"/>
    <w:rsid w:val="000D4C5C"/>
    <w:rsid w:val="000D6A43"/>
    <w:rsid w:val="000E0E16"/>
    <w:rsid w:val="000E1BEA"/>
    <w:rsid w:val="000E1EAA"/>
    <w:rsid w:val="000E28FD"/>
    <w:rsid w:val="000E33E1"/>
    <w:rsid w:val="000E34D4"/>
    <w:rsid w:val="000E38F0"/>
    <w:rsid w:val="000E4ACB"/>
    <w:rsid w:val="000E57D6"/>
    <w:rsid w:val="000E5C8A"/>
    <w:rsid w:val="000E7615"/>
    <w:rsid w:val="000F18A9"/>
    <w:rsid w:val="000F3F19"/>
    <w:rsid w:val="001005AD"/>
    <w:rsid w:val="001020F0"/>
    <w:rsid w:val="00103192"/>
    <w:rsid w:val="00104B6A"/>
    <w:rsid w:val="00105A2E"/>
    <w:rsid w:val="00106DCF"/>
    <w:rsid w:val="00112CA3"/>
    <w:rsid w:val="00113B1E"/>
    <w:rsid w:val="00113EB7"/>
    <w:rsid w:val="0011613C"/>
    <w:rsid w:val="00117DC0"/>
    <w:rsid w:val="00123677"/>
    <w:rsid w:val="00127584"/>
    <w:rsid w:val="00133F79"/>
    <w:rsid w:val="0013468C"/>
    <w:rsid w:val="00134CD6"/>
    <w:rsid w:val="00134D02"/>
    <w:rsid w:val="00137E9E"/>
    <w:rsid w:val="0014145F"/>
    <w:rsid w:val="00142809"/>
    <w:rsid w:val="001458AE"/>
    <w:rsid w:val="00147417"/>
    <w:rsid w:val="0015344C"/>
    <w:rsid w:val="00154786"/>
    <w:rsid w:val="00157900"/>
    <w:rsid w:val="0016080C"/>
    <w:rsid w:val="001615D1"/>
    <w:rsid w:val="00162067"/>
    <w:rsid w:val="00164A92"/>
    <w:rsid w:val="00165665"/>
    <w:rsid w:val="001663F5"/>
    <w:rsid w:val="00166737"/>
    <w:rsid w:val="001670AE"/>
    <w:rsid w:val="00171805"/>
    <w:rsid w:val="0017430F"/>
    <w:rsid w:val="00176F11"/>
    <w:rsid w:val="0017750B"/>
    <w:rsid w:val="001822D4"/>
    <w:rsid w:val="00183A3C"/>
    <w:rsid w:val="00184226"/>
    <w:rsid w:val="00193D45"/>
    <w:rsid w:val="00195713"/>
    <w:rsid w:val="00196E58"/>
    <w:rsid w:val="0019740F"/>
    <w:rsid w:val="00197F96"/>
    <w:rsid w:val="001A2A88"/>
    <w:rsid w:val="001A51A4"/>
    <w:rsid w:val="001A7620"/>
    <w:rsid w:val="001B0226"/>
    <w:rsid w:val="001B051D"/>
    <w:rsid w:val="001B365D"/>
    <w:rsid w:val="001B3A18"/>
    <w:rsid w:val="001B4D9B"/>
    <w:rsid w:val="001B6F64"/>
    <w:rsid w:val="001C63B1"/>
    <w:rsid w:val="001C66E7"/>
    <w:rsid w:val="001C6FFE"/>
    <w:rsid w:val="001C7798"/>
    <w:rsid w:val="001D11F9"/>
    <w:rsid w:val="001D1E2F"/>
    <w:rsid w:val="001D3F8F"/>
    <w:rsid w:val="001D4D72"/>
    <w:rsid w:val="001D51BA"/>
    <w:rsid w:val="001D589B"/>
    <w:rsid w:val="001D5B04"/>
    <w:rsid w:val="001D6284"/>
    <w:rsid w:val="001D6D53"/>
    <w:rsid w:val="001D72B1"/>
    <w:rsid w:val="001E08FF"/>
    <w:rsid w:val="001E2D0A"/>
    <w:rsid w:val="001E78D7"/>
    <w:rsid w:val="001E7987"/>
    <w:rsid w:val="001F001B"/>
    <w:rsid w:val="001F0A73"/>
    <w:rsid w:val="001F345C"/>
    <w:rsid w:val="001F4B40"/>
    <w:rsid w:val="001F586F"/>
    <w:rsid w:val="001F5C87"/>
    <w:rsid w:val="00200AA7"/>
    <w:rsid w:val="0020166C"/>
    <w:rsid w:val="00201BBF"/>
    <w:rsid w:val="00203434"/>
    <w:rsid w:val="002035F2"/>
    <w:rsid w:val="002044BC"/>
    <w:rsid w:val="002220C1"/>
    <w:rsid w:val="00222B2A"/>
    <w:rsid w:val="0022320C"/>
    <w:rsid w:val="00224DC7"/>
    <w:rsid w:val="0022653C"/>
    <w:rsid w:val="00230405"/>
    <w:rsid w:val="00230B0C"/>
    <w:rsid w:val="00230FD4"/>
    <w:rsid w:val="00231EF7"/>
    <w:rsid w:val="00234D91"/>
    <w:rsid w:val="002350C2"/>
    <w:rsid w:val="0023626E"/>
    <w:rsid w:val="002363EF"/>
    <w:rsid w:val="00237FC9"/>
    <w:rsid w:val="002428E5"/>
    <w:rsid w:val="00242FEB"/>
    <w:rsid w:val="0024303B"/>
    <w:rsid w:val="00243C3F"/>
    <w:rsid w:val="00244E8F"/>
    <w:rsid w:val="002457DA"/>
    <w:rsid w:val="00246525"/>
    <w:rsid w:val="002479E5"/>
    <w:rsid w:val="00251BA1"/>
    <w:rsid w:val="00253F4C"/>
    <w:rsid w:val="0025549D"/>
    <w:rsid w:val="00256197"/>
    <w:rsid w:val="00260AAD"/>
    <w:rsid w:val="00262CBB"/>
    <w:rsid w:val="00262E0B"/>
    <w:rsid w:val="00263536"/>
    <w:rsid w:val="002642D5"/>
    <w:rsid w:val="0026595D"/>
    <w:rsid w:val="00270B93"/>
    <w:rsid w:val="00272022"/>
    <w:rsid w:val="002742E8"/>
    <w:rsid w:val="00276784"/>
    <w:rsid w:val="00280D5D"/>
    <w:rsid w:val="0028182F"/>
    <w:rsid w:val="00281C35"/>
    <w:rsid w:val="0028217A"/>
    <w:rsid w:val="002847D7"/>
    <w:rsid w:val="00286352"/>
    <w:rsid w:val="002868F9"/>
    <w:rsid w:val="00292CCB"/>
    <w:rsid w:val="0029322D"/>
    <w:rsid w:val="00293AFA"/>
    <w:rsid w:val="002A18A3"/>
    <w:rsid w:val="002A2611"/>
    <w:rsid w:val="002A3230"/>
    <w:rsid w:val="002A3595"/>
    <w:rsid w:val="002A4129"/>
    <w:rsid w:val="002B04DD"/>
    <w:rsid w:val="002B1574"/>
    <w:rsid w:val="002B1D09"/>
    <w:rsid w:val="002B3946"/>
    <w:rsid w:val="002B3C84"/>
    <w:rsid w:val="002B4E01"/>
    <w:rsid w:val="002B5375"/>
    <w:rsid w:val="002B553F"/>
    <w:rsid w:val="002B5873"/>
    <w:rsid w:val="002B6C38"/>
    <w:rsid w:val="002C1823"/>
    <w:rsid w:val="002C1B07"/>
    <w:rsid w:val="002C31F5"/>
    <w:rsid w:val="002C35E9"/>
    <w:rsid w:val="002C4825"/>
    <w:rsid w:val="002C6318"/>
    <w:rsid w:val="002C75A7"/>
    <w:rsid w:val="002D0904"/>
    <w:rsid w:val="002D2A47"/>
    <w:rsid w:val="002D4660"/>
    <w:rsid w:val="002D5D05"/>
    <w:rsid w:val="002D6CC9"/>
    <w:rsid w:val="002D7137"/>
    <w:rsid w:val="002D7BCB"/>
    <w:rsid w:val="002E0A75"/>
    <w:rsid w:val="002E1B10"/>
    <w:rsid w:val="002E25B9"/>
    <w:rsid w:val="002E3F0A"/>
    <w:rsid w:val="002E7FE6"/>
    <w:rsid w:val="002F19A4"/>
    <w:rsid w:val="002F33F6"/>
    <w:rsid w:val="002F64EC"/>
    <w:rsid w:val="002F7830"/>
    <w:rsid w:val="003003BA"/>
    <w:rsid w:val="003017FB"/>
    <w:rsid w:val="003037CD"/>
    <w:rsid w:val="003059D4"/>
    <w:rsid w:val="003109B7"/>
    <w:rsid w:val="00310C40"/>
    <w:rsid w:val="00313673"/>
    <w:rsid w:val="00314DD8"/>
    <w:rsid w:val="003204D7"/>
    <w:rsid w:val="00322C2A"/>
    <w:rsid w:val="00323071"/>
    <w:rsid w:val="00327D81"/>
    <w:rsid w:val="003317EB"/>
    <w:rsid w:val="0033459F"/>
    <w:rsid w:val="003412C6"/>
    <w:rsid w:val="003444F4"/>
    <w:rsid w:val="003447C9"/>
    <w:rsid w:val="00344F25"/>
    <w:rsid w:val="00345660"/>
    <w:rsid w:val="003477E8"/>
    <w:rsid w:val="0034789F"/>
    <w:rsid w:val="00351109"/>
    <w:rsid w:val="0035141C"/>
    <w:rsid w:val="00353DD9"/>
    <w:rsid w:val="00355963"/>
    <w:rsid w:val="003574D8"/>
    <w:rsid w:val="00360C3F"/>
    <w:rsid w:val="0036194C"/>
    <w:rsid w:val="00362807"/>
    <w:rsid w:val="0036387E"/>
    <w:rsid w:val="00363A01"/>
    <w:rsid w:val="00365AA7"/>
    <w:rsid w:val="00366861"/>
    <w:rsid w:val="0036730E"/>
    <w:rsid w:val="00370789"/>
    <w:rsid w:val="00370F22"/>
    <w:rsid w:val="00371999"/>
    <w:rsid w:val="003723D1"/>
    <w:rsid w:val="00374198"/>
    <w:rsid w:val="00375CF3"/>
    <w:rsid w:val="003762B4"/>
    <w:rsid w:val="00376AE7"/>
    <w:rsid w:val="00376FE8"/>
    <w:rsid w:val="0037743E"/>
    <w:rsid w:val="0037782A"/>
    <w:rsid w:val="00383DCE"/>
    <w:rsid w:val="00394F4B"/>
    <w:rsid w:val="003963BD"/>
    <w:rsid w:val="003A007C"/>
    <w:rsid w:val="003A23AA"/>
    <w:rsid w:val="003A2652"/>
    <w:rsid w:val="003A2EA5"/>
    <w:rsid w:val="003A575A"/>
    <w:rsid w:val="003A6E3C"/>
    <w:rsid w:val="003B6127"/>
    <w:rsid w:val="003B6163"/>
    <w:rsid w:val="003B77D2"/>
    <w:rsid w:val="003C0637"/>
    <w:rsid w:val="003C078A"/>
    <w:rsid w:val="003C2B35"/>
    <w:rsid w:val="003C3928"/>
    <w:rsid w:val="003C3B01"/>
    <w:rsid w:val="003C450B"/>
    <w:rsid w:val="003C52DD"/>
    <w:rsid w:val="003C72D6"/>
    <w:rsid w:val="003D16E0"/>
    <w:rsid w:val="003D4DD7"/>
    <w:rsid w:val="003D5CFE"/>
    <w:rsid w:val="003D7F85"/>
    <w:rsid w:val="003E141A"/>
    <w:rsid w:val="003E150A"/>
    <w:rsid w:val="003E4017"/>
    <w:rsid w:val="003E4735"/>
    <w:rsid w:val="003F141F"/>
    <w:rsid w:val="003F21B6"/>
    <w:rsid w:val="003F68BB"/>
    <w:rsid w:val="003F68C7"/>
    <w:rsid w:val="003F7D07"/>
    <w:rsid w:val="0040273F"/>
    <w:rsid w:val="004047BC"/>
    <w:rsid w:val="00404AD2"/>
    <w:rsid w:val="00413386"/>
    <w:rsid w:val="00414910"/>
    <w:rsid w:val="00415810"/>
    <w:rsid w:val="00415C65"/>
    <w:rsid w:val="00416283"/>
    <w:rsid w:val="00416AD7"/>
    <w:rsid w:val="004200D6"/>
    <w:rsid w:val="00420481"/>
    <w:rsid w:val="00423885"/>
    <w:rsid w:val="00424847"/>
    <w:rsid w:val="004305F8"/>
    <w:rsid w:val="00431C40"/>
    <w:rsid w:val="004378A6"/>
    <w:rsid w:val="0044168C"/>
    <w:rsid w:val="0044185D"/>
    <w:rsid w:val="00442933"/>
    <w:rsid w:val="00442E1E"/>
    <w:rsid w:val="00446254"/>
    <w:rsid w:val="00447575"/>
    <w:rsid w:val="0044789D"/>
    <w:rsid w:val="00450CD1"/>
    <w:rsid w:val="0045488C"/>
    <w:rsid w:val="00455B7E"/>
    <w:rsid w:val="0045620C"/>
    <w:rsid w:val="00456F32"/>
    <w:rsid w:val="004575E5"/>
    <w:rsid w:val="0045781D"/>
    <w:rsid w:val="00457859"/>
    <w:rsid w:val="00464470"/>
    <w:rsid w:val="00464BC8"/>
    <w:rsid w:val="00466E34"/>
    <w:rsid w:val="00470285"/>
    <w:rsid w:val="0047099A"/>
    <w:rsid w:val="00470E6B"/>
    <w:rsid w:val="00471306"/>
    <w:rsid w:val="00471CF2"/>
    <w:rsid w:val="0047339A"/>
    <w:rsid w:val="004743BF"/>
    <w:rsid w:val="00475F14"/>
    <w:rsid w:val="004770FF"/>
    <w:rsid w:val="00481A7F"/>
    <w:rsid w:val="00482845"/>
    <w:rsid w:val="00482B6F"/>
    <w:rsid w:val="00482EFD"/>
    <w:rsid w:val="00487324"/>
    <w:rsid w:val="0049346D"/>
    <w:rsid w:val="00497C61"/>
    <w:rsid w:val="004A1546"/>
    <w:rsid w:val="004A222C"/>
    <w:rsid w:val="004A258F"/>
    <w:rsid w:val="004A33B3"/>
    <w:rsid w:val="004A6C80"/>
    <w:rsid w:val="004A7EC2"/>
    <w:rsid w:val="004B0E16"/>
    <w:rsid w:val="004B1914"/>
    <w:rsid w:val="004B7D16"/>
    <w:rsid w:val="004C2501"/>
    <w:rsid w:val="004C326F"/>
    <w:rsid w:val="004C32D9"/>
    <w:rsid w:val="004C7805"/>
    <w:rsid w:val="004D0A4E"/>
    <w:rsid w:val="004D0F2E"/>
    <w:rsid w:val="004D2226"/>
    <w:rsid w:val="004D3336"/>
    <w:rsid w:val="004D5B62"/>
    <w:rsid w:val="004E2AE5"/>
    <w:rsid w:val="004F1273"/>
    <w:rsid w:val="004F12E4"/>
    <w:rsid w:val="004F2A1D"/>
    <w:rsid w:val="004F3CBB"/>
    <w:rsid w:val="004F4079"/>
    <w:rsid w:val="004F42FD"/>
    <w:rsid w:val="004F4534"/>
    <w:rsid w:val="004F7C19"/>
    <w:rsid w:val="00500A60"/>
    <w:rsid w:val="00502B54"/>
    <w:rsid w:val="00502EEC"/>
    <w:rsid w:val="00503492"/>
    <w:rsid w:val="005050AC"/>
    <w:rsid w:val="00506C6C"/>
    <w:rsid w:val="00506C77"/>
    <w:rsid w:val="00506D70"/>
    <w:rsid w:val="00506FD8"/>
    <w:rsid w:val="00510CEC"/>
    <w:rsid w:val="005113D5"/>
    <w:rsid w:val="00512817"/>
    <w:rsid w:val="00512D78"/>
    <w:rsid w:val="005144BD"/>
    <w:rsid w:val="0051464B"/>
    <w:rsid w:val="00515141"/>
    <w:rsid w:val="005179F9"/>
    <w:rsid w:val="00517BF7"/>
    <w:rsid w:val="00520CA8"/>
    <w:rsid w:val="00520F79"/>
    <w:rsid w:val="005231CD"/>
    <w:rsid w:val="0052322A"/>
    <w:rsid w:val="00523585"/>
    <w:rsid w:val="005242C1"/>
    <w:rsid w:val="00525695"/>
    <w:rsid w:val="00527BC6"/>
    <w:rsid w:val="00533A91"/>
    <w:rsid w:val="0053429F"/>
    <w:rsid w:val="0053537C"/>
    <w:rsid w:val="00536D1E"/>
    <w:rsid w:val="00541B68"/>
    <w:rsid w:val="00545331"/>
    <w:rsid w:val="00550344"/>
    <w:rsid w:val="005503DC"/>
    <w:rsid w:val="00551C35"/>
    <w:rsid w:val="00552435"/>
    <w:rsid w:val="005528B0"/>
    <w:rsid w:val="0055295C"/>
    <w:rsid w:val="00553403"/>
    <w:rsid w:val="005659FD"/>
    <w:rsid w:val="00566E47"/>
    <w:rsid w:val="0057326B"/>
    <w:rsid w:val="005732FB"/>
    <w:rsid w:val="00576825"/>
    <w:rsid w:val="00576E98"/>
    <w:rsid w:val="005779BE"/>
    <w:rsid w:val="00580129"/>
    <w:rsid w:val="005821D0"/>
    <w:rsid w:val="00583248"/>
    <w:rsid w:val="005833BD"/>
    <w:rsid w:val="00587206"/>
    <w:rsid w:val="00587745"/>
    <w:rsid w:val="005901B7"/>
    <w:rsid w:val="005909C8"/>
    <w:rsid w:val="00590A04"/>
    <w:rsid w:val="00597699"/>
    <w:rsid w:val="005A2BEC"/>
    <w:rsid w:val="005A33A3"/>
    <w:rsid w:val="005A7749"/>
    <w:rsid w:val="005B28BB"/>
    <w:rsid w:val="005B366B"/>
    <w:rsid w:val="005B4790"/>
    <w:rsid w:val="005C0C67"/>
    <w:rsid w:val="005C1983"/>
    <w:rsid w:val="005C50D7"/>
    <w:rsid w:val="005C7091"/>
    <w:rsid w:val="005C7693"/>
    <w:rsid w:val="005C76DE"/>
    <w:rsid w:val="005C76FE"/>
    <w:rsid w:val="005D1D59"/>
    <w:rsid w:val="005D4B67"/>
    <w:rsid w:val="005D568C"/>
    <w:rsid w:val="005D707E"/>
    <w:rsid w:val="005E0D2F"/>
    <w:rsid w:val="005E1A41"/>
    <w:rsid w:val="005E24F7"/>
    <w:rsid w:val="005E2946"/>
    <w:rsid w:val="005E4B50"/>
    <w:rsid w:val="005E4BC1"/>
    <w:rsid w:val="005E6C69"/>
    <w:rsid w:val="005E7288"/>
    <w:rsid w:val="005F038E"/>
    <w:rsid w:val="005F0A7A"/>
    <w:rsid w:val="005F1707"/>
    <w:rsid w:val="005F47DE"/>
    <w:rsid w:val="005F6709"/>
    <w:rsid w:val="00601FCB"/>
    <w:rsid w:val="00604280"/>
    <w:rsid w:val="00610912"/>
    <w:rsid w:val="00610E67"/>
    <w:rsid w:val="0061123B"/>
    <w:rsid w:val="006125FA"/>
    <w:rsid w:val="0061379B"/>
    <w:rsid w:val="006173C4"/>
    <w:rsid w:val="00617974"/>
    <w:rsid w:val="00621BD3"/>
    <w:rsid w:val="0062238D"/>
    <w:rsid w:val="0062272E"/>
    <w:rsid w:val="006227CD"/>
    <w:rsid w:val="00622E8D"/>
    <w:rsid w:val="00625DAF"/>
    <w:rsid w:val="0062615A"/>
    <w:rsid w:val="00627BA3"/>
    <w:rsid w:val="006323E8"/>
    <w:rsid w:val="00637081"/>
    <w:rsid w:val="0063734F"/>
    <w:rsid w:val="00637F3F"/>
    <w:rsid w:val="0064089E"/>
    <w:rsid w:val="00643762"/>
    <w:rsid w:val="0064388E"/>
    <w:rsid w:val="00647CEC"/>
    <w:rsid w:val="00647E18"/>
    <w:rsid w:val="0065308E"/>
    <w:rsid w:val="00653993"/>
    <w:rsid w:val="00654562"/>
    <w:rsid w:val="006560C3"/>
    <w:rsid w:val="00656A37"/>
    <w:rsid w:val="00657BC8"/>
    <w:rsid w:val="006604BF"/>
    <w:rsid w:val="006606AB"/>
    <w:rsid w:val="006622F4"/>
    <w:rsid w:val="00662324"/>
    <w:rsid w:val="00662C6C"/>
    <w:rsid w:val="00663FAF"/>
    <w:rsid w:val="006708F1"/>
    <w:rsid w:val="006719E2"/>
    <w:rsid w:val="00671A37"/>
    <w:rsid w:val="00676CF6"/>
    <w:rsid w:val="006773E4"/>
    <w:rsid w:val="006811B5"/>
    <w:rsid w:val="00683E11"/>
    <w:rsid w:val="00684271"/>
    <w:rsid w:val="006845B5"/>
    <w:rsid w:val="006907B3"/>
    <w:rsid w:val="00691AD8"/>
    <w:rsid w:val="006923BF"/>
    <w:rsid w:val="006926F9"/>
    <w:rsid w:val="00692879"/>
    <w:rsid w:val="00693E12"/>
    <w:rsid w:val="006970C6"/>
    <w:rsid w:val="006A095B"/>
    <w:rsid w:val="006A11F7"/>
    <w:rsid w:val="006A69B9"/>
    <w:rsid w:val="006A6BB6"/>
    <w:rsid w:val="006A769B"/>
    <w:rsid w:val="006A7B01"/>
    <w:rsid w:val="006B3194"/>
    <w:rsid w:val="006B5A1B"/>
    <w:rsid w:val="006B7AAA"/>
    <w:rsid w:val="006C0462"/>
    <w:rsid w:val="006C09EF"/>
    <w:rsid w:val="006C117D"/>
    <w:rsid w:val="006C29FA"/>
    <w:rsid w:val="006C3F6B"/>
    <w:rsid w:val="006C4610"/>
    <w:rsid w:val="006C54CC"/>
    <w:rsid w:val="006C58CD"/>
    <w:rsid w:val="006C6043"/>
    <w:rsid w:val="006C7DD7"/>
    <w:rsid w:val="006D1219"/>
    <w:rsid w:val="006D274E"/>
    <w:rsid w:val="006D277F"/>
    <w:rsid w:val="006D57AE"/>
    <w:rsid w:val="006E3B0F"/>
    <w:rsid w:val="006E5C40"/>
    <w:rsid w:val="006E765C"/>
    <w:rsid w:val="006E7C52"/>
    <w:rsid w:val="006E7F7E"/>
    <w:rsid w:val="006F1665"/>
    <w:rsid w:val="006F4E4B"/>
    <w:rsid w:val="006F51F0"/>
    <w:rsid w:val="006F5964"/>
    <w:rsid w:val="006F69A8"/>
    <w:rsid w:val="006F6BAA"/>
    <w:rsid w:val="006F761D"/>
    <w:rsid w:val="007036CC"/>
    <w:rsid w:val="00705910"/>
    <w:rsid w:val="00707E26"/>
    <w:rsid w:val="00720305"/>
    <w:rsid w:val="00721765"/>
    <w:rsid w:val="00722532"/>
    <w:rsid w:val="00722DEB"/>
    <w:rsid w:val="00726191"/>
    <w:rsid w:val="007263D5"/>
    <w:rsid w:val="00726E9D"/>
    <w:rsid w:val="00733D2E"/>
    <w:rsid w:val="00735A5F"/>
    <w:rsid w:val="00744C99"/>
    <w:rsid w:val="007465F3"/>
    <w:rsid w:val="007469C1"/>
    <w:rsid w:val="007478CB"/>
    <w:rsid w:val="0075081E"/>
    <w:rsid w:val="00754B26"/>
    <w:rsid w:val="00756040"/>
    <w:rsid w:val="0075617C"/>
    <w:rsid w:val="007561DC"/>
    <w:rsid w:val="00757AFD"/>
    <w:rsid w:val="00761218"/>
    <w:rsid w:val="007623C6"/>
    <w:rsid w:val="00762813"/>
    <w:rsid w:val="007629C2"/>
    <w:rsid w:val="00762FC3"/>
    <w:rsid w:val="00764F7F"/>
    <w:rsid w:val="00765020"/>
    <w:rsid w:val="00766AF3"/>
    <w:rsid w:val="007715C6"/>
    <w:rsid w:val="007719C2"/>
    <w:rsid w:val="00771B5C"/>
    <w:rsid w:val="00771E97"/>
    <w:rsid w:val="007729C0"/>
    <w:rsid w:val="00774B5B"/>
    <w:rsid w:val="0077709B"/>
    <w:rsid w:val="00777FD0"/>
    <w:rsid w:val="0078021B"/>
    <w:rsid w:val="007828B2"/>
    <w:rsid w:val="00783F34"/>
    <w:rsid w:val="0079217E"/>
    <w:rsid w:val="00793DE9"/>
    <w:rsid w:val="007942C8"/>
    <w:rsid w:val="00795808"/>
    <w:rsid w:val="0079597D"/>
    <w:rsid w:val="0079632F"/>
    <w:rsid w:val="00796AE6"/>
    <w:rsid w:val="007974D1"/>
    <w:rsid w:val="007A0FA6"/>
    <w:rsid w:val="007A308E"/>
    <w:rsid w:val="007A3099"/>
    <w:rsid w:val="007A3A4B"/>
    <w:rsid w:val="007A4573"/>
    <w:rsid w:val="007A4C37"/>
    <w:rsid w:val="007A4DE9"/>
    <w:rsid w:val="007B00CC"/>
    <w:rsid w:val="007B1409"/>
    <w:rsid w:val="007B1A5A"/>
    <w:rsid w:val="007B2A7A"/>
    <w:rsid w:val="007B50CC"/>
    <w:rsid w:val="007B5D6A"/>
    <w:rsid w:val="007B7D38"/>
    <w:rsid w:val="007C3FB8"/>
    <w:rsid w:val="007C4BE1"/>
    <w:rsid w:val="007C5FC3"/>
    <w:rsid w:val="007C765B"/>
    <w:rsid w:val="007D0E5D"/>
    <w:rsid w:val="007D1859"/>
    <w:rsid w:val="007D1B74"/>
    <w:rsid w:val="007D1D1F"/>
    <w:rsid w:val="007D6EAE"/>
    <w:rsid w:val="007E3E4D"/>
    <w:rsid w:val="007E40B4"/>
    <w:rsid w:val="007E4CC2"/>
    <w:rsid w:val="007F0E02"/>
    <w:rsid w:val="007F1863"/>
    <w:rsid w:val="007F248E"/>
    <w:rsid w:val="007F29FF"/>
    <w:rsid w:val="007F33E6"/>
    <w:rsid w:val="007F51D4"/>
    <w:rsid w:val="007F6BAF"/>
    <w:rsid w:val="007F7397"/>
    <w:rsid w:val="007F7423"/>
    <w:rsid w:val="008001AA"/>
    <w:rsid w:val="00800210"/>
    <w:rsid w:val="00801CB2"/>
    <w:rsid w:val="00802734"/>
    <w:rsid w:val="008038A5"/>
    <w:rsid w:val="00803C80"/>
    <w:rsid w:val="00803D7E"/>
    <w:rsid w:val="00803E7E"/>
    <w:rsid w:val="0080588E"/>
    <w:rsid w:val="008104CC"/>
    <w:rsid w:val="0081054E"/>
    <w:rsid w:val="00813138"/>
    <w:rsid w:val="00815922"/>
    <w:rsid w:val="00815DB3"/>
    <w:rsid w:val="00820E6D"/>
    <w:rsid w:val="00824F5B"/>
    <w:rsid w:val="0082594C"/>
    <w:rsid w:val="0082679D"/>
    <w:rsid w:val="008312C6"/>
    <w:rsid w:val="00832B1A"/>
    <w:rsid w:val="0083327C"/>
    <w:rsid w:val="00833A77"/>
    <w:rsid w:val="00833AF5"/>
    <w:rsid w:val="00836743"/>
    <w:rsid w:val="00837BFB"/>
    <w:rsid w:val="0084230F"/>
    <w:rsid w:val="00842686"/>
    <w:rsid w:val="00844A34"/>
    <w:rsid w:val="00852CBA"/>
    <w:rsid w:val="00855D8E"/>
    <w:rsid w:val="00857936"/>
    <w:rsid w:val="00870DFC"/>
    <w:rsid w:val="008729D8"/>
    <w:rsid w:val="00872F5A"/>
    <w:rsid w:val="0087511D"/>
    <w:rsid w:val="00875D2B"/>
    <w:rsid w:val="0088036E"/>
    <w:rsid w:val="00880E9F"/>
    <w:rsid w:val="00882B4F"/>
    <w:rsid w:val="00883C0B"/>
    <w:rsid w:val="00887CE3"/>
    <w:rsid w:val="0089090A"/>
    <w:rsid w:val="00891323"/>
    <w:rsid w:val="008928FF"/>
    <w:rsid w:val="0089317D"/>
    <w:rsid w:val="00895115"/>
    <w:rsid w:val="00895F27"/>
    <w:rsid w:val="008962AC"/>
    <w:rsid w:val="00897A88"/>
    <w:rsid w:val="008A0059"/>
    <w:rsid w:val="008A01FD"/>
    <w:rsid w:val="008A0449"/>
    <w:rsid w:val="008A115C"/>
    <w:rsid w:val="008A2B11"/>
    <w:rsid w:val="008A2D01"/>
    <w:rsid w:val="008A5300"/>
    <w:rsid w:val="008A7998"/>
    <w:rsid w:val="008B10C8"/>
    <w:rsid w:val="008B129E"/>
    <w:rsid w:val="008B1F0F"/>
    <w:rsid w:val="008B2981"/>
    <w:rsid w:val="008B5D52"/>
    <w:rsid w:val="008B7036"/>
    <w:rsid w:val="008C1AA1"/>
    <w:rsid w:val="008C430B"/>
    <w:rsid w:val="008D2A83"/>
    <w:rsid w:val="008D451B"/>
    <w:rsid w:val="008D7BA2"/>
    <w:rsid w:val="008E0616"/>
    <w:rsid w:val="008E288A"/>
    <w:rsid w:val="008E54E5"/>
    <w:rsid w:val="008F1B44"/>
    <w:rsid w:val="008F312D"/>
    <w:rsid w:val="008F5E79"/>
    <w:rsid w:val="008F65E7"/>
    <w:rsid w:val="008F6688"/>
    <w:rsid w:val="008F6E35"/>
    <w:rsid w:val="00900521"/>
    <w:rsid w:val="009014E5"/>
    <w:rsid w:val="009026BB"/>
    <w:rsid w:val="00903AC0"/>
    <w:rsid w:val="00905A3A"/>
    <w:rsid w:val="00907533"/>
    <w:rsid w:val="00910B4C"/>
    <w:rsid w:val="00913246"/>
    <w:rsid w:val="0091363D"/>
    <w:rsid w:val="00914423"/>
    <w:rsid w:val="00914F8F"/>
    <w:rsid w:val="009155A1"/>
    <w:rsid w:val="0091644D"/>
    <w:rsid w:val="00917711"/>
    <w:rsid w:val="009201DC"/>
    <w:rsid w:val="009218D1"/>
    <w:rsid w:val="00923246"/>
    <w:rsid w:val="00925D1D"/>
    <w:rsid w:val="00927AF1"/>
    <w:rsid w:val="00927E64"/>
    <w:rsid w:val="00937376"/>
    <w:rsid w:val="009375DB"/>
    <w:rsid w:val="00937B2F"/>
    <w:rsid w:val="00940F1B"/>
    <w:rsid w:val="00947C91"/>
    <w:rsid w:val="00952A79"/>
    <w:rsid w:val="009556F2"/>
    <w:rsid w:val="00955811"/>
    <w:rsid w:val="009572F8"/>
    <w:rsid w:val="00960A03"/>
    <w:rsid w:val="009623EA"/>
    <w:rsid w:val="00963032"/>
    <w:rsid w:val="00963151"/>
    <w:rsid w:val="00964B6F"/>
    <w:rsid w:val="00972675"/>
    <w:rsid w:val="00973EE7"/>
    <w:rsid w:val="00974299"/>
    <w:rsid w:val="0097465B"/>
    <w:rsid w:val="00976935"/>
    <w:rsid w:val="00976955"/>
    <w:rsid w:val="00976EC6"/>
    <w:rsid w:val="00977213"/>
    <w:rsid w:val="00977FFC"/>
    <w:rsid w:val="00977FFE"/>
    <w:rsid w:val="00981024"/>
    <w:rsid w:val="00983990"/>
    <w:rsid w:val="009839C0"/>
    <w:rsid w:val="00983E11"/>
    <w:rsid w:val="00986D0F"/>
    <w:rsid w:val="0098738F"/>
    <w:rsid w:val="00987871"/>
    <w:rsid w:val="009902A0"/>
    <w:rsid w:val="0099288F"/>
    <w:rsid w:val="00992B4F"/>
    <w:rsid w:val="00997E01"/>
    <w:rsid w:val="009A311F"/>
    <w:rsid w:val="009A75EB"/>
    <w:rsid w:val="009A7940"/>
    <w:rsid w:val="009B07B4"/>
    <w:rsid w:val="009B15A2"/>
    <w:rsid w:val="009B373D"/>
    <w:rsid w:val="009B3971"/>
    <w:rsid w:val="009B4E11"/>
    <w:rsid w:val="009B6E2B"/>
    <w:rsid w:val="009B713A"/>
    <w:rsid w:val="009C0B5A"/>
    <w:rsid w:val="009C10C2"/>
    <w:rsid w:val="009C1FF0"/>
    <w:rsid w:val="009C5CEC"/>
    <w:rsid w:val="009C5D88"/>
    <w:rsid w:val="009D099F"/>
    <w:rsid w:val="009D1438"/>
    <w:rsid w:val="009D1854"/>
    <w:rsid w:val="009D1F01"/>
    <w:rsid w:val="009D54BC"/>
    <w:rsid w:val="009D701A"/>
    <w:rsid w:val="009E006A"/>
    <w:rsid w:val="009E24BD"/>
    <w:rsid w:val="009E281A"/>
    <w:rsid w:val="009E6341"/>
    <w:rsid w:val="009E7CE2"/>
    <w:rsid w:val="009F06CD"/>
    <w:rsid w:val="009F1BEC"/>
    <w:rsid w:val="009F5F17"/>
    <w:rsid w:val="009F69B8"/>
    <w:rsid w:val="00A0056F"/>
    <w:rsid w:val="00A006C4"/>
    <w:rsid w:val="00A00BB2"/>
    <w:rsid w:val="00A01532"/>
    <w:rsid w:val="00A0171A"/>
    <w:rsid w:val="00A045D8"/>
    <w:rsid w:val="00A06B28"/>
    <w:rsid w:val="00A079D7"/>
    <w:rsid w:val="00A113C5"/>
    <w:rsid w:val="00A117E6"/>
    <w:rsid w:val="00A11860"/>
    <w:rsid w:val="00A133DA"/>
    <w:rsid w:val="00A1367E"/>
    <w:rsid w:val="00A1537A"/>
    <w:rsid w:val="00A203D9"/>
    <w:rsid w:val="00A2164D"/>
    <w:rsid w:val="00A21E3E"/>
    <w:rsid w:val="00A25940"/>
    <w:rsid w:val="00A265E1"/>
    <w:rsid w:val="00A27FB8"/>
    <w:rsid w:val="00A3303B"/>
    <w:rsid w:val="00A334B1"/>
    <w:rsid w:val="00A35069"/>
    <w:rsid w:val="00A350F0"/>
    <w:rsid w:val="00A4293B"/>
    <w:rsid w:val="00A43529"/>
    <w:rsid w:val="00A4461D"/>
    <w:rsid w:val="00A450C6"/>
    <w:rsid w:val="00A45AC9"/>
    <w:rsid w:val="00A466EE"/>
    <w:rsid w:val="00A47B36"/>
    <w:rsid w:val="00A5111A"/>
    <w:rsid w:val="00A51CFD"/>
    <w:rsid w:val="00A53915"/>
    <w:rsid w:val="00A54024"/>
    <w:rsid w:val="00A5460F"/>
    <w:rsid w:val="00A61EFF"/>
    <w:rsid w:val="00A62D73"/>
    <w:rsid w:val="00A7027C"/>
    <w:rsid w:val="00A70702"/>
    <w:rsid w:val="00A748B1"/>
    <w:rsid w:val="00A75079"/>
    <w:rsid w:val="00A81759"/>
    <w:rsid w:val="00A825FA"/>
    <w:rsid w:val="00A83E3F"/>
    <w:rsid w:val="00A85461"/>
    <w:rsid w:val="00A91E1F"/>
    <w:rsid w:val="00A96556"/>
    <w:rsid w:val="00A97E28"/>
    <w:rsid w:val="00AA2402"/>
    <w:rsid w:val="00AA29BE"/>
    <w:rsid w:val="00AA378F"/>
    <w:rsid w:val="00AA3EDF"/>
    <w:rsid w:val="00AA4C01"/>
    <w:rsid w:val="00AA56E5"/>
    <w:rsid w:val="00AB0584"/>
    <w:rsid w:val="00AB1310"/>
    <w:rsid w:val="00AB2D00"/>
    <w:rsid w:val="00AB3AE8"/>
    <w:rsid w:val="00AB4461"/>
    <w:rsid w:val="00AB45C6"/>
    <w:rsid w:val="00AB4C0E"/>
    <w:rsid w:val="00AB4DCA"/>
    <w:rsid w:val="00AB5D1E"/>
    <w:rsid w:val="00AB615C"/>
    <w:rsid w:val="00AB6C76"/>
    <w:rsid w:val="00AB7A5E"/>
    <w:rsid w:val="00AC0124"/>
    <w:rsid w:val="00AC118A"/>
    <w:rsid w:val="00AC5F9C"/>
    <w:rsid w:val="00AD33D5"/>
    <w:rsid w:val="00AD52C0"/>
    <w:rsid w:val="00AD5354"/>
    <w:rsid w:val="00AD583B"/>
    <w:rsid w:val="00AE0E3B"/>
    <w:rsid w:val="00AE1E3B"/>
    <w:rsid w:val="00AE5D8C"/>
    <w:rsid w:val="00AE6B2D"/>
    <w:rsid w:val="00AE755A"/>
    <w:rsid w:val="00AF250C"/>
    <w:rsid w:val="00AF2682"/>
    <w:rsid w:val="00AF6B2F"/>
    <w:rsid w:val="00AF78D0"/>
    <w:rsid w:val="00AF7F1A"/>
    <w:rsid w:val="00B00664"/>
    <w:rsid w:val="00B01ED7"/>
    <w:rsid w:val="00B02710"/>
    <w:rsid w:val="00B02E04"/>
    <w:rsid w:val="00B03D6B"/>
    <w:rsid w:val="00B06473"/>
    <w:rsid w:val="00B06F36"/>
    <w:rsid w:val="00B10A73"/>
    <w:rsid w:val="00B10FAD"/>
    <w:rsid w:val="00B21606"/>
    <w:rsid w:val="00B216A3"/>
    <w:rsid w:val="00B229FB"/>
    <w:rsid w:val="00B23B2F"/>
    <w:rsid w:val="00B25FC2"/>
    <w:rsid w:val="00B27488"/>
    <w:rsid w:val="00B32865"/>
    <w:rsid w:val="00B33853"/>
    <w:rsid w:val="00B338E2"/>
    <w:rsid w:val="00B344C5"/>
    <w:rsid w:val="00B36423"/>
    <w:rsid w:val="00B3744E"/>
    <w:rsid w:val="00B42430"/>
    <w:rsid w:val="00B46235"/>
    <w:rsid w:val="00B47A0B"/>
    <w:rsid w:val="00B55255"/>
    <w:rsid w:val="00B554EE"/>
    <w:rsid w:val="00B55671"/>
    <w:rsid w:val="00B55C0D"/>
    <w:rsid w:val="00B55DC7"/>
    <w:rsid w:val="00B60E9C"/>
    <w:rsid w:val="00B6364F"/>
    <w:rsid w:val="00B63797"/>
    <w:rsid w:val="00B67101"/>
    <w:rsid w:val="00B67111"/>
    <w:rsid w:val="00B7421D"/>
    <w:rsid w:val="00B75D5E"/>
    <w:rsid w:val="00B768A2"/>
    <w:rsid w:val="00B822B1"/>
    <w:rsid w:val="00B831FE"/>
    <w:rsid w:val="00B8372C"/>
    <w:rsid w:val="00B84D83"/>
    <w:rsid w:val="00B90B4B"/>
    <w:rsid w:val="00B90CFF"/>
    <w:rsid w:val="00B92E7E"/>
    <w:rsid w:val="00B92FF9"/>
    <w:rsid w:val="00B93AF2"/>
    <w:rsid w:val="00B94C4E"/>
    <w:rsid w:val="00B96BA2"/>
    <w:rsid w:val="00BA3C1C"/>
    <w:rsid w:val="00BA3F47"/>
    <w:rsid w:val="00BA703E"/>
    <w:rsid w:val="00BB0C26"/>
    <w:rsid w:val="00BB0D33"/>
    <w:rsid w:val="00BB1415"/>
    <w:rsid w:val="00BB3832"/>
    <w:rsid w:val="00BB50DE"/>
    <w:rsid w:val="00BB528C"/>
    <w:rsid w:val="00BB6692"/>
    <w:rsid w:val="00BB67BE"/>
    <w:rsid w:val="00BB682F"/>
    <w:rsid w:val="00BC19F7"/>
    <w:rsid w:val="00BC452D"/>
    <w:rsid w:val="00BC515F"/>
    <w:rsid w:val="00BC6316"/>
    <w:rsid w:val="00BC6BB4"/>
    <w:rsid w:val="00BC6C9C"/>
    <w:rsid w:val="00BD1F9A"/>
    <w:rsid w:val="00BD230A"/>
    <w:rsid w:val="00BD3545"/>
    <w:rsid w:val="00BD3885"/>
    <w:rsid w:val="00BD3942"/>
    <w:rsid w:val="00BD6458"/>
    <w:rsid w:val="00BD7A10"/>
    <w:rsid w:val="00BD7B61"/>
    <w:rsid w:val="00BE0246"/>
    <w:rsid w:val="00BE111C"/>
    <w:rsid w:val="00BE15FC"/>
    <w:rsid w:val="00BE2822"/>
    <w:rsid w:val="00BE4FF8"/>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C04E3C"/>
    <w:rsid w:val="00C052E4"/>
    <w:rsid w:val="00C05482"/>
    <w:rsid w:val="00C12DA9"/>
    <w:rsid w:val="00C1477B"/>
    <w:rsid w:val="00C16CE0"/>
    <w:rsid w:val="00C20C44"/>
    <w:rsid w:val="00C25466"/>
    <w:rsid w:val="00C2676C"/>
    <w:rsid w:val="00C30BEF"/>
    <w:rsid w:val="00C31844"/>
    <w:rsid w:val="00C32C66"/>
    <w:rsid w:val="00C3566C"/>
    <w:rsid w:val="00C3684C"/>
    <w:rsid w:val="00C36E50"/>
    <w:rsid w:val="00C372EA"/>
    <w:rsid w:val="00C372F3"/>
    <w:rsid w:val="00C4064C"/>
    <w:rsid w:val="00C43B14"/>
    <w:rsid w:val="00C43DCD"/>
    <w:rsid w:val="00C47112"/>
    <w:rsid w:val="00C51003"/>
    <w:rsid w:val="00C516CF"/>
    <w:rsid w:val="00C53798"/>
    <w:rsid w:val="00C53C66"/>
    <w:rsid w:val="00C54F4D"/>
    <w:rsid w:val="00C56D80"/>
    <w:rsid w:val="00C571F6"/>
    <w:rsid w:val="00C60E68"/>
    <w:rsid w:val="00C61320"/>
    <w:rsid w:val="00C65131"/>
    <w:rsid w:val="00C66836"/>
    <w:rsid w:val="00C67DF1"/>
    <w:rsid w:val="00C67EBC"/>
    <w:rsid w:val="00C7101F"/>
    <w:rsid w:val="00C713D8"/>
    <w:rsid w:val="00C717B1"/>
    <w:rsid w:val="00C72558"/>
    <w:rsid w:val="00C75A0E"/>
    <w:rsid w:val="00C75A8A"/>
    <w:rsid w:val="00C77048"/>
    <w:rsid w:val="00C770C3"/>
    <w:rsid w:val="00C77DA8"/>
    <w:rsid w:val="00C807A7"/>
    <w:rsid w:val="00C8165F"/>
    <w:rsid w:val="00C81BD5"/>
    <w:rsid w:val="00C82AEC"/>
    <w:rsid w:val="00C82B94"/>
    <w:rsid w:val="00C82FF5"/>
    <w:rsid w:val="00C84C78"/>
    <w:rsid w:val="00C85844"/>
    <w:rsid w:val="00C863D8"/>
    <w:rsid w:val="00C93EDF"/>
    <w:rsid w:val="00C95F5D"/>
    <w:rsid w:val="00C97DE2"/>
    <w:rsid w:val="00C97DE3"/>
    <w:rsid w:val="00CA0142"/>
    <w:rsid w:val="00CA0E75"/>
    <w:rsid w:val="00CA3776"/>
    <w:rsid w:val="00CA40CE"/>
    <w:rsid w:val="00CA4215"/>
    <w:rsid w:val="00CA421B"/>
    <w:rsid w:val="00CA4E6A"/>
    <w:rsid w:val="00CA5BB0"/>
    <w:rsid w:val="00CA75BE"/>
    <w:rsid w:val="00CA7673"/>
    <w:rsid w:val="00CA784D"/>
    <w:rsid w:val="00CB0AC3"/>
    <w:rsid w:val="00CB286A"/>
    <w:rsid w:val="00CB4DD7"/>
    <w:rsid w:val="00CB692D"/>
    <w:rsid w:val="00CB6F54"/>
    <w:rsid w:val="00CB7450"/>
    <w:rsid w:val="00CC0AE4"/>
    <w:rsid w:val="00CC2149"/>
    <w:rsid w:val="00CC340E"/>
    <w:rsid w:val="00CC5441"/>
    <w:rsid w:val="00CC7234"/>
    <w:rsid w:val="00CD0DCF"/>
    <w:rsid w:val="00CD344C"/>
    <w:rsid w:val="00CD41A2"/>
    <w:rsid w:val="00CD4200"/>
    <w:rsid w:val="00CD452D"/>
    <w:rsid w:val="00CD6261"/>
    <w:rsid w:val="00CD638B"/>
    <w:rsid w:val="00CE1C98"/>
    <w:rsid w:val="00CE2302"/>
    <w:rsid w:val="00CE336B"/>
    <w:rsid w:val="00CE34C5"/>
    <w:rsid w:val="00CE35E5"/>
    <w:rsid w:val="00CE6848"/>
    <w:rsid w:val="00CF04C1"/>
    <w:rsid w:val="00CF0982"/>
    <w:rsid w:val="00CF3543"/>
    <w:rsid w:val="00CF5342"/>
    <w:rsid w:val="00CF5ACB"/>
    <w:rsid w:val="00CF5D37"/>
    <w:rsid w:val="00CF6B39"/>
    <w:rsid w:val="00D0067C"/>
    <w:rsid w:val="00D00DBB"/>
    <w:rsid w:val="00D013AA"/>
    <w:rsid w:val="00D02203"/>
    <w:rsid w:val="00D0294D"/>
    <w:rsid w:val="00D035FB"/>
    <w:rsid w:val="00D12E26"/>
    <w:rsid w:val="00D162A1"/>
    <w:rsid w:val="00D2128F"/>
    <w:rsid w:val="00D21F38"/>
    <w:rsid w:val="00D232F3"/>
    <w:rsid w:val="00D23453"/>
    <w:rsid w:val="00D248BD"/>
    <w:rsid w:val="00D26A66"/>
    <w:rsid w:val="00D3270A"/>
    <w:rsid w:val="00D33A1E"/>
    <w:rsid w:val="00D34347"/>
    <w:rsid w:val="00D35381"/>
    <w:rsid w:val="00D35928"/>
    <w:rsid w:val="00D35D0A"/>
    <w:rsid w:val="00D401B5"/>
    <w:rsid w:val="00D40F9E"/>
    <w:rsid w:val="00D420DD"/>
    <w:rsid w:val="00D42CC7"/>
    <w:rsid w:val="00D45A49"/>
    <w:rsid w:val="00D45FB9"/>
    <w:rsid w:val="00D47C93"/>
    <w:rsid w:val="00D52631"/>
    <w:rsid w:val="00D53C28"/>
    <w:rsid w:val="00D550FB"/>
    <w:rsid w:val="00D560A9"/>
    <w:rsid w:val="00D562E4"/>
    <w:rsid w:val="00D61B67"/>
    <w:rsid w:val="00D61B7C"/>
    <w:rsid w:val="00D6236A"/>
    <w:rsid w:val="00D64C5D"/>
    <w:rsid w:val="00D66829"/>
    <w:rsid w:val="00D7016D"/>
    <w:rsid w:val="00D71691"/>
    <w:rsid w:val="00D71C97"/>
    <w:rsid w:val="00D725BE"/>
    <w:rsid w:val="00D75DE4"/>
    <w:rsid w:val="00D76CCD"/>
    <w:rsid w:val="00D77890"/>
    <w:rsid w:val="00D800B1"/>
    <w:rsid w:val="00D819C1"/>
    <w:rsid w:val="00D82CE4"/>
    <w:rsid w:val="00D847C6"/>
    <w:rsid w:val="00D8627A"/>
    <w:rsid w:val="00D87216"/>
    <w:rsid w:val="00D87961"/>
    <w:rsid w:val="00D87962"/>
    <w:rsid w:val="00D90022"/>
    <w:rsid w:val="00D90734"/>
    <w:rsid w:val="00D90B82"/>
    <w:rsid w:val="00D913D6"/>
    <w:rsid w:val="00D91B03"/>
    <w:rsid w:val="00D92ABF"/>
    <w:rsid w:val="00D94099"/>
    <w:rsid w:val="00D95666"/>
    <w:rsid w:val="00D95FB4"/>
    <w:rsid w:val="00D96A26"/>
    <w:rsid w:val="00D97774"/>
    <w:rsid w:val="00DA206C"/>
    <w:rsid w:val="00DA2890"/>
    <w:rsid w:val="00DA3212"/>
    <w:rsid w:val="00DA3960"/>
    <w:rsid w:val="00DA39D6"/>
    <w:rsid w:val="00DA4104"/>
    <w:rsid w:val="00DA4309"/>
    <w:rsid w:val="00DA4744"/>
    <w:rsid w:val="00DA555D"/>
    <w:rsid w:val="00DA70B3"/>
    <w:rsid w:val="00DB0B0F"/>
    <w:rsid w:val="00DB31D5"/>
    <w:rsid w:val="00DB32E6"/>
    <w:rsid w:val="00DB4537"/>
    <w:rsid w:val="00DB5F26"/>
    <w:rsid w:val="00DC2CA5"/>
    <w:rsid w:val="00DC4A14"/>
    <w:rsid w:val="00DC7607"/>
    <w:rsid w:val="00DC7F0E"/>
    <w:rsid w:val="00DD195E"/>
    <w:rsid w:val="00DD33B6"/>
    <w:rsid w:val="00DD7556"/>
    <w:rsid w:val="00DD75DE"/>
    <w:rsid w:val="00DE0C05"/>
    <w:rsid w:val="00DE467B"/>
    <w:rsid w:val="00DE4FF7"/>
    <w:rsid w:val="00DE57E7"/>
    <w:rsid w:val="00DE57FC"/>
    <w:rsid w:val="00DE6FE1"/>
    <w:rsid w:val="00DE7157"/>
    <w:rsid w:val="00DE79DC"/>
    <w:rsid w:val="00DF3E5D"/>
    <w:rsid w:val="00DF4A01"/>
    <w:rsid w:val="00DF5D7A"/>
    <w:rsid w:val="00E001FC"/>
    <w:rsid w:val="00E020D7"/>
    <w:rsid w:val="00E025DF"/>
    <w:rsid w:val="00E02899"/>
    <w:rsid w:val="00E03D4A"/>
    <w:rsid w:val="00E04EDE"/>
    <w:rsid w:val="00E05D08"/>
    <w:rsid w:val="00E078C8"/>
    <w:rsid w:val="00E07AA2"/>
    <w:rsid w:val="00E16EF7"/>
    <w:rsid w:val="00E17BC6"/>
    <w:rsid w:val="00E21953"/>
    <w:rsid w:val="00E21BE5"/>
    <w:rsid w:val="00E23318"/>
    <w:rsid w:val="00E2366E"/>
    <w:rsid w:val="00E25E8F"/>
    <w:rsid w:val="00E2743D"/>
    <w:rsid w:val="00E30B5F"/>
    <w:rsid w:val="00E32DB7"/>
    <w:rsid w:val="00E35CDC"/>
    <w:rsid w:val="00E35EFD"/>
    <w:rsid w:val="00E40F29"/>
    <w:rsid w:val="00E45E3B"/>
    <w:rsid w:val="00E47AD9"/>
    <w:rsid w:val="00E47E1F"/>
    <w:rsid w:val="00E50504"/>
    <w:rsid w:val="00E53CA4"/>
    <w:rsid w:val="00E61097"/>
    <w:rsid w:val="00E6310E"/>
    <w:rsid w:val="00E63E6B"/>
    <w:rsid w:val="00E64A78"/>
    <w:rsid w:val="00E65F5E"/>
    <w:rsid w:val="00E66603"/>
    <w:rsid w:val="00E67421"/>
    <w:rsid w:val="00E80550"/>
    <w:rsid w:val="00E80A79"/>
    <w:rsid w:val="00E81116"/>
    <w:rsid w:val="00E843A1"/>
    <w:rsid w:val="00E84EDE"/>
    <w:rsid w:val="00E854DE"/>
    <w:rsid w:val="00E865FA"/>
    <w:rsid w:val="00E8743D"/>
    <w:rsid w:val="00E932AE"/>
    <w:rsid w:val="00E935E1"/>
    <w:rsid w:val="00E9420C"/>
    <w:rsid w:val="00E94E86"/>
    <w:rsid w:val="00E95D09"/>
    <w:rsid w:val="00E96131"/>
    <w:rsid w:val="00E9702F"/>
    <w:rsid w:val="00EA0689"/>
    <w:rsid w:val="00EA375C"/>
    <w:rsid w:val="00EA3A6F"/>
    <w:rsid w:val="00EA7C43"/>
    <w:rsid w:val="00EB1E89"/>
    <w:rsid w:val="00EB2881"/>
    <w:rsid w:val="00EB5B86"/>
    <w:rsid w:val="00EB5CE3"/>
    <w:rsid w:val="00EC0F16"/>
    <w:rsid w:val="00EC40FE"/>
    <w:rsid w:val="00EC4645"/>
    <w:rsid w:val="00EC54F6"/>
    <w:rsid w:val="00EC74E3"/>
    <w:rsid w:val="00EC7D31"/>
    <w:rsid w:val="00ED1D15"/>
    <w:rsid w:val="00ED327C"/>
    <w:rsid w:val="00ED36AA"/>
    <w:rsid w:val="00ED493C"/>
    <w:rsid w:val="00ED5C9A"/>
    <w:rsid w:val="00ED68CD"/>
    <w:rsid w:val="00EE0884"/>
    <w:rsid w:val="00EE0E88"/>
    <w:rsid w:val="00EE19EE"/>
    <w:rsid w:val="00EE4291"/>
    <w:rsid w:val="00EF040E"/>
    <w:rsid w:val="00EF30C8"/>
    <w:rsid w:val="00EF5BB8"/>
    <w:rsid w:val="00EF5BE4"/>
    <w:rsid w:val="00EF6887"/>
    <w:rsid w:val="00EF6C7F"/>
    <w:rsid w:val="00EF70D5"/>
    <w:rsid w:val="00F02C8C"/>
    <w:rsid w:val="00F04BA9"/>
    <w:rsid w:val="00F04C38"/>
    <w:rsid w:val="00F05597"/>
    <w:rsid w:val="00F05B5E"/>
    <w:rsid w:val="00F07C36"/>
    <w:rsid w:val="00F07EE3"/>
    <w:rsid w:val="00F1047B"/>
    <w:rsid w:val="00F1203F"/>
    <w:rsid w:val="00F12E83"/>
    <w:rsid w:val="00F13E09"/>
    <w:rsid w:val="00F14C81"/>
    <w:rsid w:val="00F15484"/>
    <w:rsid w:val="00F1604C"/>
    <w:rsid w:val="00F17556"/>
    <w:rsid w:val="00F17F73"/>
    <w:rsid w:val="00F25663"/>
    <w:rsid w:val="00F2614A"/>
    <w:rsid w:val="00F26A90"/>
    <w:rsid w:val="00F27907"/>
    <w:rsid w:val="00F307EA"/>
    <w:rsid w:val="00F32E9C"/>
    <w:rsid w:val="00F33483"/>
    <w:rsid w:val="00F33E51"/>
    <w:rsid w:val="00F34689"/>
    <w:rsid w:val="00F347FB"/>
    <w:rsid w:val="00F36561"/>
    <w:rsid w:val="00F365D7"/>
    <w:rsid w:val="00F40B7A"/>
    <w:rsid w:val="00F43B91"/>
    <w:rsid w:val="00F457D8"/>
    <w:rsid w:val="00F45F9F"/>
    <w:rsid w:val="00F4797F"/>
    <w:rsid w:val="00F52361"/>
    <w:rsid w:val="00F5271F"/>
    <w:rsid w:val="00F5281D"/>
    <w:rsid w:val="00F531DD"/>
    <w:rsid w:val="00F53CDC"/>
    <w:rsid w:val="00F53E1C"/>
    <w:rsid w:val="00F54C9B"/>
    <w:rsid w:val="00F558F0"/>
    <w:rsid w:val="00F55B14"/>
    <w:rsid w:val="00F61703"/>
    <w:rsid w:val="00F61D85"/>
    <w:rsid w:val="00F63E4F"/>
    <w:rsid w:val="00F64185"/>
    <w:rsid w:val="00F643FA"/>
    <w:rsid w:val="00F64FB1"/>
    <w:rsid w:val="00F67481"/>
    <w:rsid w:val="00F7048B"/>
    <w:rsid w:val="00F7072A"/>
    <w:rsid w:val="00F70937"/>
    <w:rsid w:val="00F7104A"/>
    <w:rsid w:val="00F71995"/>
    <w:rsid w:val="00F723CD"/>
    <w:rsid w:val="00F77502"/>
    <w:rsid w:val="00F81985"/>
    <w:rsid w:val="00F81C44"/>
    <w:rsid w:val="00F8230A"/>
    <w:rsid w:val="00F82D9C"/>
    <w:rsid w:val="00F84894"/>
    <w:rsid w:val="00F864D2"/>
    <w:rsid w:val="00F865C3"/>
    <w:rsid w:val="00F9022B"/>
    <w:rsid w:val="00F9030A"/>
    <w:rsid w:val="00F9171F"/>
    <w:rsid w:val="00F923A0"/>
    <w:rsid w:val="00F92F88"/>
    <w:rsid w:val="00F94405"/>
    <w:rsid w:val="00F96771"/>
    <w:rsid w:val="00F97FBC"/>
    <w:rsid w:val="00FA2147"/>
    <w:rsid w:val="00FA2218"/>
    <w:rsid w:val="00FA4B60"/>
    <w:rsid w:val="00FA56CD"/>
    <w:rsid w:val="00FA7283"/>
    <w:rsid w:val="00FB19B2"/>
    <w:rsid w:val="00FB19FA"/>
    <w:rsid w:val="00FB3F0F"/>
    <w:rsid w:val="00FB66BC"/>
    <w:rsid w:val="00FB6A28"/>
    <w:rsid w:val="00FB7909"/>
    <w:rsid w:val="00FC0187"/>
    <w:rsid w:val="00FC06C0"/>
    <w:rsid w:val="00FC2799"/>
    <w:rsid w:val="00FC2916"/>
    <w:rsid w:val="00FC324F"/>
    <w:rsid w:val="00FC3A79"/>
    <w:rsid w:val="00FC42DB"/>
    <w:rsid w:val="00FC4647"/>
    <w:rsid w:val="00FC6EF1"/>
    <w:rsid w:val="00FD0D74"/>
    <w:rsid w:val="00FD1B78"/>
    <w:rsid w:val="00FD3F5D"/>
    <w:rsid w:val="00FD4339"/>
    <w:rsid w:val="00FD6D48"/>
    <w:rsid w:val="00FD7A0F"/>
    <w:rsid w:val="00FE3C74"/>
    <w:rsid w:val="00FE5ECA"/>
    <w:rsid w:val="00FF1E7B"/>
    <w:rsid w:val="00FF2526"/>
    <w:rsid w:val="00FF2DBB"/>
    <w:rsid w:val="00FF3024"/>
    <w:rsid w:val="00FF32C1"/>
    <w:rsid w:val="00FF5BC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nhideWhenUsed="0" w:qFormat="1"/>
    <w:lsdException w:name="Default Paragraph Font" w:uiPriority="1"/>
    <w:lsdException w:name="Body Text Indent" w:uiPriority="0"/>
    <w:lsdException w:name="Subtitle"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2642D5"/>
    <w:rPr>
      <w:rFonts w:ascii="Lucida Sans Typewriter" w:hAnsi="Lucida Sans Typewriter" w:cs="Courier New"/>
      <w:sz w:val="15"/>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DA555D"/>
    <w:pPr>
      <w:tabs>
        <w:tab w:val="left" w:pos="360"/>
      </w:tabs>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DA555D"/>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F12E83"/>
    <w:pPr>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456F32"/>
    <w:pPr>
      <w:spacing w:after="60"/>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456F32"/>
    <w:pPr>
      <w:ind w:left="386" w:hanging="386"/>
    </w:pPr>
    <w:rPr>
      <w:szCs w:val="18"/>
    </w:rPr>
  </w:style>
  <w:style w:type="paragraph" w:customStyle="1" w:styleId="JACoWThird-levelHeading">
    <w:name w:val="JACoW_Third-level Heading"/>
    <w:basedOn w:val="BodyTextIndent"/>
    <w:link w:val="JACoWThird-levelHeadingChar"/>
    <w:qFormat/>
    <w:rsid w:val="00310C40"/>
    <w:pPr>
      <w:spacing w:before="120"/>
    </w:pPr>
    <w:rPr>
      <w:b/>
    </w:rPr>
  </w:style>
  <w:style w:type="character" w:customStyle="1" w:styleId="JACoWThird-levelHeadingChar">
    <w:name w:val="JACoW_Third-level Heading Char"/>
    <w:basedOn w:val="BodyTextIndentChar"/>
    <w:link w:val="JACoWThird-levelHeading"/>
    <w:rsid w:val="00310C40"/>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unhideWhenUsed/>
    <w:rsid w:val="00CA0E75"/>
    <w:rPr>
      <w:szCs w:val="20"/>
    </w:rPr>
  </w:style>
  <w:style w:type="character" w:customStyle="1" w:styleId="EndnoteTextChar">
    <w:name w:val="Endnote Text Char"/>
    <w:basedOn w:val="DefaultParagraphFont"/>
    <w:link w:val="EndnoteText"/>
    <w:uiPriority w:val="99"/>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34"/>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456F3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2642D5"/>
    <w:rPr>
      <w:rFonts w:ascii="Lucida Sans Typewriter" w:hAnsi="Lucida Sans Typewriter" w:cs="Courier New"/>
      <w:sz w:val="15"/>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456F3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paragraph" w:styleId="Revision">
    <w:name w:val="Revision"/>
    <w:hidden/>
    <w:uiPriority w:val="99"/>
    <w:semiHidden/>
    <w:rsid w:val="00105A2E"/>
    <w:rPr>
      <w:rFonts w:ascii="Times" w:hAnsi="Times"/>
      <w:szCs w:val="24"/>
      <w:lang w:val="en-GB"/>
    </w:rPr>
  </w:style>
  <w:style w:type="character" w:styleId="EndnoteReference">
    <w:name w:val="endnote reference"/>
    <w:basedOn w:val="DefaultParagraphFont"/>
    <w:uiPriority w:val="99"/>
    <w:unhideWhenUsed/>
    <w:rsid w:val="0028182F"/>
    <w:rPr>
      <w:vertAlign w:val="superscript"/>
    </w:rPr>
  </w:style>
  <w:style w:type="table" w:styleId="LightShading">
    <w:name w:val="Light Shading"/>
    <w:basedOn w:val="TableNormal"/>
    <w:uiPriority w:val="60"/>
    <w:rsid w:val="0028182F"/>
    <w:rPr>
      <w:rFonts w:asciiTheme="minorHAnsi" w:eastAsiaTheme="minorHAnsi" w:hAnsiTheme="minorHAnsi" w:cstheme="minorBidi"/>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ibliographytext">
    <w:name w:val="bibliography_text"/>
    <w:rsid w:val="00E96131"/>
    <w:pPr>
      <w:numPr>
        <w:numId w:val="25"/>
      </w:numPr>
      <w:suppressAutoHyphens/>
      <w:autoSpaceDN w:val="0"/>
      <w:spacing w:after="200"/>
      <w:ind w:left="-2523"/>
      <w:textAlignment w:val="baseline"/>
    </w:pPr>
    <w:rPr>
      <w:kern w:val="3"/>
      <w:szCs w:val="24"/>
      <w:lang w:val="en-GB" w:eastAsia="it-IT"/>
    </w:rPr>
  </w:style>
  <w:style w:type="character" w:customStyle="1" w:styleId="WW8Num3z0">
    <w:name w:val="WW8Num3z0"/>
    <w:rsid w:val="00E96131"/>
    <w:rPr>
      <w:rFonts w:ascii="Times New Roman" w:hAnsi="Times New Roman" w:cs="Times New Roman"/>
      <w:sz w:val="20"/>
    </w:rPr>
  </w:style>
  <w:style w:type="numbering" w:customStyle="1" w:styleId="WWNum2">
    <w:name w:val="WWNum2"/>
    <w:basedOn w:val="NoList"/>
    <w:rsid w:val="00E96131"/>
    <w:pPr>
      <w:numPr>
        <w:numId w:val="2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nhideWhenUsed="0" w:qFormat="1"/>
    <w:lsdException w:name="Default Paragraph Font" w:uiPriority="1"/>
    <w:lsdException w:name="Body Text Indent" w:uiPriority="0"/>
    <w:lsdException w:name="Subtitle"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2642D5"/>
    <w:rPr>
      <w:rFonts w:ascii="Lucida Sans Typewriter" w:hAnsi="Lucida Sans Typewriter" w:cs="Courier New"/>
      <w:sz w:val="15"/>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DA555D"/>
    <w:pPr>
      <w:tabs>
        <w:tab w:val="left" w:pos="360"/>
      </w:tabs>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DA555D"/>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F12E83"/>
    <w:pPr>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456F32"/>
    <w:pPr>
      <w:spacing w:after="60"/>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456F32"/>
    <w:pPr>
      <w:ind w:left="386" w:hanging="386"/>
    </w:pPr>
    <w:rPr>
      <w:szCs w:val="18"/>
    </w:rPr>
  </w:style>
  <w:style w:type="paragraph" w:customStyle="1" w:styleId="JACoWThird-levelHeading">
    <w:name w:val="JACoW_Third-level Heading"/>
    <w:basedOn w:val="BodyTextIndent"/>
    <w:link w:val="JACoWThird-levelHeadingChar"/>
    <w:qFormat/>
    <w:rsid w:val="00310C40"/>
    <w:pPr>
      <w:spacing w:before="120"/>
    </w:pPr>
    <w:rPr>
      <w:b/>
    </w:rPr>
  </w:style>
  <w:style w:type="character" w:customStyle="1" w:styleId="JACoWThird-levelHeadingChar">
    <w:name w:val="JACoW_Third-level Heading Char"/>
    <w:basedOn w:val="BodyTextIndentChar"/>
    <w:link w:val="JACoWThird-levelHeading"/>
    <w:rsid w:val="00310C40"/>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unhideWhenUsed/>
    <w:rsid w:val="00CA0E75"/>
    <w:rPr>
      <w:szCs w:val="20"/>
    </w:rPr>
  </w:style>
  <w:style w:type="character" w:customStyle="1" w:styleId="EndnoteTextChar">
    <w:name w:val="Endnote Text Char"/>
    <w:basedOn w:val="DefaultParagraphFont"/>
    <w:link w:val="EndnoteText"/>
    <w:uiPriority w:val="99"/>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34"/>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456F3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2642D5"/>
    <w:rPr>
      <w:rFonts w:ascii="Lucida Sans Typewriter" w:hAnsi="Lucida Sans Typewriter" w:cs="Courier New"/>
      <w:sz w:val="15"/>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456F3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paragraph" w:styleId="Revision">
    <w:name w:val="Revision"/>
    <w:hidden/>
    <w:uiPriority w:val="99"/>
    <w:semiHidden/>
    <w:rsid w:val="00105A2E"/>
    <w:rPr>
      <w:rFonts w:ascii="Times" w:hAnsi="Times"/>
      <w:szCs w:val="24"/>
      <w:lang w:val="en-GB"/>
    </w:rPr>
  </w:style>
  <w:style w:type="character" w:styleId="EndnoteReference">
    <w:name w:val="endnote reference"/>
    <w:basedOn w:val="DefaultParagraphFont"/>
    <w:uiPriority w:val="99"/>
    <w:unhideWhenUsed/>
    <w:rsid w:val="0028182F"/>
    <w:rPr>
      <w:vertAlign w:val="superscript"/>
    </w:rPr>
  </w:style>
  <w:style w:type="table" w:styleId="LightShading">
    <w:name w:val="Light Shading"/>
    <w:basedOn w:val="TableNormal"/>
    <w:uiPriority w:val="60"/>
    <w:rsid w:val="0028182F"/>
    <w:rPr>
      <w:rFonts w:asciiTheme="minorHAnsi" w:eastAsiaTheme="minorHAnsi" w:hAnsiTheme="minorHAnsi" w:cstheme="minorBidi"/>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ibliographytext">
    <w:name w:val="bibliography_text"/>
    <w:rsid w:val="00E96131"/>
    <w:pPr>
      <w:numPr>
        <w:numId w:val="25"/>
      </w:numPr>
      <w:suppressAutoHyphens/>
      <w:autoSpaceDN w:val="0"/>
      <w:spacing w:after="200"/>
      <w:ind w:left="-2523"/>
      <w:textAlignment w:val="baseline"/>
    </w:pPr>
    <w:rPr>
      <w:kern w:val="3"/>
      <w:szCs w:val="24"/>
      <w:lang w:val="en-GB" w:eastAsia="it-IT"/>
    </w:rPr>
  </w:style>
  <w:style w:type="character" w:customStyle="1" w:styleId="WW8Num3z0">
    <w:name w:val="WW8Num3z0"/>
    <w:rsid w:val="00E96131"/>
    <w:rPr>
      <w:rFonts w:ascii="Times New Roman" w:hAnsi="Times New Roman" w:cs="Times New Roman"/>
      <w:sz w:val="20"/>
    </w:rPr>
  </w:style>
  <w:style w:type="numbering" w:customStyle="1" w:styleId="WWNum2">
    <w:name w:val="WWNum2"/>
    <w:basedOn w:val="NoList"/>
    <w:rsid w:val="00E9613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wang\AppData\Local\Temp\JACoW_W10_A4-1.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b="0" baseline="0"/>
              <a:t> </a:t>
            </a:r>
            <a:endParaRPr lang="en-US" sz="1000" b="0"/>
          </a:p>
        </c:rich>
      </c:tx>
      <c:layout>
        <c:manualLayout>
          <c:xMode val="edge"/>
          <c:yMode val="edge"/>
          <c:x val="0.1585994459025955"/>
          <c:y val="1.5503875968992248E-2"/>
        </c:manualLayout>
      </c:layout>
      <c:overlay val="0"/>
    </c:title>
    <c:autoTitleDeleted val="0"/>
    <c:plotArea>
      <c:layout>
        <c:manualLayout>
          <c:layoutTarget val="inner"/>
          <c:xMode val="edge"/>
          <c:yMode val="edge"/>
          <c:x val="0.18681211723534555"/>
          <c:y val="8.6581876199027213E-2"/>
          <c:w val="0.76196121318168564"/>
          <c:h val="0.69402185191967281"/>
        </c:manualLayout>
      </c:layout>
      <c:scatterChart>
        <c:scatterStyle val="lineMarker"/>
        <c:varyColors val="0"/>
        <c:ser>
          <c:idx val="0"/>
          <c:order val="0"/>
          <c:tx>
            <c:v>x</c:v>
          </c:tx>
          <c:spPr>
            <a:ln w="28575">
              <a:noFill/>
            </a:ln>
          </c:spPr>
          <c:marker>
            <c:symbol val="square"/>
            <c:size val="3"/>
            <c:spPr>
              <a:solidFill>
                <a:srgbClr val="FF0000"/>
              </a:solidFill>
            </c:spPr>
          </c:marker>
          <c:trendline>
            <c:spPr>
              <a:ln>
                <a:solidFill>
                  <a:srgbClr val="FF0000"/>
                </a:solidFill>
              </a:ln>
            </c:spPr>
            <c:trendlineType val="linear"/>
            <c:backward val="0.15700000000000003"/>
            <c:intercept val="0"/>
            <c:dispRSqr val="0"/>
            <c:dispEq val="1"/>
            <c:trendlineLbl>
              <c:layout>
                <c:manualLayout>
                  <c:x val="-0.14476049868766405"/>
                  <c:y val="-4.4459471591265051E-2"/>
                </c:manualLayout>
              </c:layout>
              <c:tx>
                <c:rich>
                  <a:bodyPr/>
                  <a:lstStyle/>
                  <a:p>
                    <a:pPr>
                      <a:defRPr/>
                    </a:pPr>
                    <a:r>
                      <a:rPr lang="en-US" sz="800" baseline="0">
                        <a:solidFill>
                          <a:srgbClr val="FF0000"/>
                        </a:solidFill>
                      </a:rPr>
                      <a:t>Thermal angle = 0.47 (mrad</a:t>
                    </a:r>
                    <a:r>
                      <a:rPr lang="en-US" sz="1000" baseline="0">
                        <a:solidFill>
                          <a:srgbClr val="FF0000"/>
                        </a:solidFill>
                      </a:rPr>
                      <a:t>)</a:t>
                    </a:r>
                    <a:endParaRPr lang="en-US" sz="1000">
                      <a:solidFill>
                        <a:srgbClr val="FF0000"/>
                      </a:solidFill>
                    </a:endParaRPr>
                  </a:p>
                </c:rich>
              </c:tx>
              <c:numFmt formatCode="General" sourceLinked="0"/>
            </c:trendlineLbl>
          </c:trendline>
          <c:errBars>
            <c:errDir val="y"/>
            <c:errBarType val="both"/>
            <c:errValType val="percentage"/>
            <c:noEndCap val="0"/>
            <c:val val="10"/>
          </c:errBars>
          <c:xVal>
            <c:numRef>
              <c:f>'Jan31-Feb2'!$H$3:$H$7</c:f>
              <c:numCache>
                <c:formatCode>General</c:formatCode>
                <c:ptCount val="5"/>
                <c:pt idx="0">
                  <c:v>0.157</c:v>
                </c:pt>
                <c:pt idx="1">
                  <c:v>0.2</c:v>
                </c:pt>
                <c:pt idx="2">
                  <c:v>0.24299999999999999</c:v>
                </c:pt>
                <c:pt idx="3">
                  <c:v>0.3</c:v>
                </c:pt>
                <c:pt idx="4">
                  <c:v>0.34399999999999997</c:v>
                </c:pt>
              </c:numCache>
            </c:numRef>
          </c:xVal>
          <c:yVal>
            <c:numRef>
              <c:f>'Jan31-Feb2'!$I$3:$I$7</c:f>
              <c:numCache>
                <c:formatCode>General</c:formatCode>
                <c:ptCount val="5"/>
                <c:pt idx="0">
                  <c:v>5.96E-2</c:v>
                </c:pt>
                <c:pt idx="1">
                  <c:v>0.1009</c:v>
                </c:pt>
                <c:pt idx="2">
                  <c:v>0.10639999999999999</c:v>
                </c:pt>
                <c:pt idx="3">
                  <c:v>0.1444</c:v>
                </c:pt>
                <c:pt idx="4">
                  <c:v>0.16500000000000001</c:v>
                </c:pt>
              </c:numCache>
            </c:numRef>
          </c:yVal>
          <c:smooth val="0"/>
        </c:ser>
        <c:ser>
          <c:idx val="1"/>
          <c:order val="1"/>
          <c:tx>
            <c:v>y</c:v>
          </c:tx>
          <c:spPr>
            <a:ln w="28575">
              <a:noFill/>
            </a:ln>
          </c:spPr>
          <c:marker>
            <c:symbol val="circle"/>
            <c:size val="3"/>
            <c:spPr>
              <a:solidFill>
                <a:srgbClr val="0070C0"/>
              </a:solidFill>
            </c:spPr>
          </c:marker>
          <c:trendline>
            <c:spPr>
              <a:ln>
                <a:solidFill>
                  <a:srgbClr val="0070C0"/>
                </a:solidFill>
              </a:ln>
            </c:spPr>
            <c:trendlineType val="linear"/>
            <c:backward val="0.15700000000000003"/>
            <c:intercept val="0"/>
            <c:dispRSqr val="0"/>
            <c:dispEq val="1"/>
            <c:trendlineLbl>
              <c:layout>
                <c:manualLayout>
                  <c:x val="1.0355059784193642E-2"/>
                  <c:y val="0.47094483368105239"/>
                </c:manualLayout>
              </c:layout>
              <c:tx>
                <c:rich>
                  <a:bodyPr/>
                  <a:lstStyle/>
                  <a:p>
                    <a:pPr>
                      <a:defRPr/>
                    </a:pPr>
                    <a:r>
                      <a:rPr lang="en-US" sz="800" baseline="0">
                        <a:solidFill>
                          <a:srgbClr val="0070C0"/>
                        </a:solidFill>
                      </a:rPr>
                      <a:t>Thermal angle = 0.45 (mrad)</a:t>
                    </a:r>
                    <a:endParaRPr lang="en-US" sz="800">
                      <a:solidFill>
                        <a:srgbClr val="0070C0"/>
                      </a:solidFill>
                    </a:endParaRPr>
                  </a:p>
                </c:rich>
              </c:tx>
              <c:numFmt formatCode="General" sourceLinked="0"/>
            </c:trendlineLbl>
          </c:trendline>
          <c:errBars>
            <c:errDir val="y"/>
            <c:errBarType val="both"/>
            <c:errValType val="percentage"/>
            <c:noEndCap val="0"/>
            <c:val val="10"/>
          </c:errBars>
          <c:xVal>
            <c:numRef>
              <c:f>'Jan31-Feb2'!$H$3:$H$7</c:f>
              <c:numCache>
                <c:formatCode>General</c:formatCode>
                <c:ptCount val="5"/>
                <c:pt idx="0">
                  <c:v>0.157</c:v>
                </c:pt>
                <c:pt idx="1">
                  <c:v>0.2</c:v>
                </c:pt>
                <c:pt idx="2">
                  <c:v>0.24299999999999999</c:v>
                </c:pt>
                <c:pt idx="3">
                  <c:v>0.3</c:v>
                </c:pt>
                <c:pt idx="4">
                  <c:v>0.34399999999999997</c:v>
                </c:pt>
              </c:numCache>
            </c:numRef>
          </c:xVal>
          <c:yVal>
            <c:numRef>
              <c:f>'Jan31-Feb2'!$K$3:$K$7</c:f>
              <c:numCache>
                <c:formatCode>General</c:formatCode>
                <c:ptCount val="5"/>
                <c:pt idx="0">
                  <c:v>7.1999999999999995E-2</c:v>
                </c:pt>
                <c:pt idx="1">
                  <c:v>8.5099999999999995E-2</c:v>
                </c:pt>
                <c:pt idx="2">
                  <c:v>9.6500000000000002E-2</c:v>
                </c:pt>
                <c:pt idx="3">
                  <c:v>0.13500000000000001</c:v>
                </c:pt>
                <c:pt idx="4">
                  <c:v>0.16289999999999999</c:v>
                </c:pt>
              </c:numCache>
            </c:numRef>
          </c:yVal>
          <c:smooth val="0"/>
        </c:ser>
        <c:dLbls>
          <c:showLegendKey val="0"/>
          <c:showVal val="0"/>
          <c:showCatName val="0"/>
          <c:showSerName val="0"/>
          <c:showPercent val="0"/>
          <c:showBubbleSize val="0"/>
        </c:dLbls>
        <c:axId val="199979008"/>
        <c:axId val="199981312"/>
      </c:scatterChart>
      <c:valAx>
        <c:axId val="199979008"/>
        <c:scaling>
          <c:orientation val="minMax"/>
          <c:max val="0.4"/>
          <c:min val="0"/>
        </c:scaling>
        <c:delete val="0"/>
        <c:axPos val="b"/>
        <c:majorGridlines/>
        <c:title>
          <c:tx>
            <c:rich>
              <a:bodyPr/>
              <a:lstStyle/>
              <a:p>
                <a:pPr>
                  <a:defRPr/>
                </a:pPr>
                <a:r>
                  <a:rPr lang="en-US" sz="900" b="0"/>
                  <a:t>Laser Size RMS (mm)</a:t>
                </a:r>
              </a:p>
            </c:rich>
          </c:tx>
          <c:layout>
            <c:manualLayout>
              <c:xMode val="edge"/>
              <c:yMode val="edge"/>
              <c:x val="0.37767680081656463"/>
              <c:y val="0.88527449245218426"/>
            </c:manualLayout>
          </c:layout>
          <c:overlay val="0"/>
        </c:title>
        <c:numFmt formatCode="General" sourceLinked="1"/>
        <c:majorTickMark val="in"/>
        <c:minorTickMark val="none"/>
        <c:tickLblPos val="nextTo"/>
        <c:txPr>
          <a:bodyPr/>
          <a:lstStyle/>
          <a:p>
            <a:pPr>
              <a:defRPr sz="800" baseline="0"/>
            </a:pPr>
            <a:endParaRPr lang="en-US"/>
          </a:p>
        </c:txPr>
        <c:crossAx val="199981312"/>
        <c:crosses val="autoZero"/>
        <c:crossBetween val="midCat"/>
      </c:valAx>
      <c:valAx>
        <c:axId val="199981312"/>
        <c:scaling>
          <c:orientation val="minMax"/>
          <c:max val="0.2"/>
          <c:min val="0"/>
        </c:scaling>
        <c:delete val="0"/>
        <c:axPos val="l"/>
        <c:majorGridlines>
          <c:spPr>
            <a:ln>
              <a:solidFill>
                <a:schemeClr val="tx1"/>
              </a:solidFill>
            </a:ln>
          </c:spPr>
        </c:majorGridlines>
        <c:title>
          <c:tx>
            <c:rich>
              <a:bodyPr rot="-5400000" vert="horz"/>
              <a:lstStyle/>
              <a:p>
                <a:pPr>
                  <a:defRPr/>
                </a:pPr>
                <a:r>
                  <a:rPr lang="en-US" sz="900" b="0"/>
                  <a:t>Emittance (mm mrad)</a:t>
                </a:r>
              </a:p>
            </c:rich>
          </c:tx>
          <c:layout>
            <c:manualLayout>
              <c:xMode val="edge"/>
              <c:yMode val="edge"/>
              <c:x val="1.778105861767279E-2"/>
              <c:y val="8.7309968606865324E-2"/>
            </c:manualLayout>
          </c:layout>
          <c:overlay val="0"/>
        </c:title>
        <c:numFmt formatCode="General" sourceLinked="1"/>
        <c:majorTickMark val="in"/>
        <c:minorTickMark val="none"/>
        <c:tickLblPos val="nextTo"/>
        <c:txPr>
          <a:bodyPr/>
          <a:lstStyle/>
          <a:p>
            <a:pPr>
              <a:defRPr sz="800" baseline="0"/>
            </a:pPr>
            <a:endParaRPr lang="en-US"/>
          </a:p>
        </c:txPr>
        <c:crossAx val="199979008"/>
        <c:crosses val="autoZero"/>
        <c:crossBetween val="midCat"/>
        <c:majorUnit val="0.1"/>
      </c:valAx>
      <c:spPr>
        <a:ln>
          <a:solidFill>
            <a:schemeClr val="tx1"/>
          </a:solidFill>
        </a:ln>
      </c:spPr>
    </c:plotArea>
    <c:legend>
      <c:legendPos val="r"/>
      <c:legendEntry>
        <c:idx val="2"/>
        <c:delete val="1"/>
      </c:legendEntry>
      <c:legendEntry>
        <c:idx val="3"/>
        <c:delete val="1"/>
      </c:legendEntry>
      <c:layout>
        <c:manualLayout>
          <c:xMode val="edge"/>
          <c:yMode val="edge"/>
          <c:x val="0.84023366870807814"/>
          <c:y val="0.4663976806820716"/>
          <c:w val="9.9581146106736657E-2"/>
          <c:h val="0.31517060367454069"/>
        </c:manualLayout>
      </c:layout>
      <c:overlay val="1"/>
      <c:spPr>
        <a:noFill/>
        <a:ln>
          <a:solidFill>
            <a:srgbClr val="00B050"/>
          </a:solidFill>
        </a:ln>
      </c:spPr>
      <c:txPr>
        <a:bodyPr/>
        <a:lstStyle/>
        <a:p>
          <a:pPr>
            <a:defRPr sz="1000" baseline="0"/>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31907776233854"/>
          <c:y val="9.556138815981334E-2"/>
          <c:w val="0.73156337810714822"/>
          <c:h val="0.68678301177265122"/>
        </c:manualLayout>
      </c:layout>
      <c:scatterChart>
        <c:scatterStyle val="lineMarker"/>
        <c:varyColors val="0"/>
        <c:ser>
          <c:idx val="2"/>
          <c:order val="0"/>
          <c:tx>
            <c:v>x</c:v>
          </c:tx>
          <c:spPr>
            <a:ln w="28575">
              <a:noFill/>
            </a:ln>
          </c:spPr>
          <c:marker>
            <c:symbol val="square"/>
            <c:size val="4"/>
            <c:spPr>
              <a:solidFill>
                <a:srgbClr val="FF0000"/>
              </a:solidFill>
            </c:spPr>
          </c:marker>
          <c:errBars>
            <c:errDir val="y"/>
            <c:errBarType val="both"/>
            <c:errValType val="percentage"/>
            <c:noEndCap val="0"/>
            <c:val val="10"/>
          </c:errBars>
          <c:xVal>
            <c:numRef>
              <c:f>Sheet1!$M$3:$M$11</c:f>
              <c:numCache>
                <c:formatCode>General</c:formatCode>
                <c:ptCount val="9"/>
                <c:pt idx="0">
                  <c:v>-5</c:v>
                </c:pt>
                <c:pt idx="1">
                  <c:v>-3.5</c:v>
                </c:pt>
                <c:pt idx="2">
                  <c:v>-2</c:v>
                </c:pt>
                <c:pt idx="3">
                  <c:v>-0.5</c:v>
                </c:pt>
                <c:pt idx="4">
                  <c:v>0</c:v>
                </c:pt>
                <c:pt idx="5">
                  <c:v>0.5</c:v>
                </c:pt>
                <c:pt idx="6">
                  <c:v>2</c:v>
                </c:pt>
                <c:pt idx="7">
                  <c:v>3.5</c:v>
                </c:pt>
                <c:pt idx="8">
                  <c:v>5</c:v>
                </c:pt>
              </c:numCache>
            </c:numRef>
          </c:xVal>
          <c:yVal>
            <c:numRef>
              <c:f>Sheet1!$N$3:$N$11</c:f>
              <c:numCache>
                <c:formatCode>General</c:formatCode>
                <c:ptCount val="9"/>
                <c:pt idx="0">
                  <c:v>6.9599999999999995E-2</c:v>
                </c:pt>
                <c:pt idx="1">
                  <c:v>7.6799999999999993E-2</c:v>
                </c:pt>
                <c:pt idx="2">
                  <c:v>0.08</c:v>
                </c:pt>
                <c:pt idx="3">
                  <c:v>7.5899999999999995E-2</c:v>
                </c:pt>
                <c:pt idx="4">
                  <c:v>7.17E-2</c:v>
                </c:pt>
                <c:pt idx="5">
                  <c:v>8.3500000000000005E-2</c:v>
                </c:pt>
                <c:pt idx="6">
                  <c:v>8.1100000000000005E-2</c:v>
                </c:pt>
                <c:pt idx="7">
                  <c:v>9.11E-2</c:v>
                </c:pt>
                <c:pt idx="8">
                  <c:v>0.10580000000000001</c:v>
                </c:pt>
              </c:numCache>
            </c:numRef>
          </c:yVal>
          <c:smooth val="0"/>
        </c:ser>
        <c:ser>
          <c:idx val="3"/>
          <c:order val="1"/>
          <c:tx>
            <c:v>y</c:v>
          </c:tx>
          <c:spPr>
            <a:ln w="28575">
              <a:noFill/>
            </a:ln>
          </c:spPr>
          <c:marker>
            <c:symbol val="circle"/>
            <c:size val="4"/>
            <c:spPr>
              <a:solidFill>
                <a:srgbClr val="0070C0"/>
              </a:solidFill>
            </c:spPr>
          </c:marker>
          <c:errBars>
            <c:errDir val="y"/>
            <c:errBarType val="both"/>
            <c:errValType val="percentage"/>
            <c:noEndCap val="0"/>
            <c:val val="10"/>
          </c:errBars>
          <c:xVal>
            <c:numRef>
              <c:f>Sheet1!$M$3:$M$11</c:f>
              <c:numCache>
                <c:formatCode>General</c:formatCode>
                <c:ptCount val="9"/>
                <c:pt idx="0">
                  <c:v>-5</c:v>
                </c:pt>
                <c:pt idx="1">
                  <c:v>-3.5</c:v>
                </c:pt>
                <c:pt idx="2">
                  <c:v>-2</c:v>
                </c:pt>
                <c:pt idx="3">
                  <c:v>-0.5</c:v>
                </c:pt>
                <c:pt idx="4">
                  <c:v>0</c:v>
                </c:pt>
                <c:pt idx="5">
                  <c:v>0.5</c:v>
                </c:pt>
                <c:pt idx="6">
                  <c:v>2</c:v>
                </c:pt>
                <c:pt idx="7">
                  <c:v>3.5</c:v>
                </c:pt>
                <c:pt idx="8">
                  <c:v>5</c:v>
                </c:pt>
              </c:numCache>
            </c:numRef>
          </c:xVal>
          <c:yVal>
            <c:numRef>
              <c:f>Sheet1!$O$3:$O$11</c:f>
              <c:numCache>
                <c:formatCode>General</c:formatCode>
                <c:ptCount val="9"/>
                <c:pt idx="0">
                  <c:v>8.8200000000000001E-2</c:v>
                </c:pt>
                <c:pt idx="1">
                  <c:v>8.9800000000000005E-2</c:v>
                </c:pt>
                <c:pt idx="2">
                  <c:v>8.3099999999999993E-2</c:v>
                </c:pt>
                <c:pt idx="3">
                  <c:v>8.2799999999999999E-2</c:v>
                </c:pt>
                <c:pt idx="4">
                  <c:v>8.3799999999999999E-2</c:v>
                </c:pt>
                <c:pt idx="5">
                  <c:v>7.7700000000000005E-2</c:v>
                </c:pt>
                <c:pt idx="6">
                  <c:v>7.6600000000000001E-2</c:v>
                </c:pt>
                <c:pt idx="7">
                  <c:v>9.2100000000000001E-2</c:v>
                </c:pt>
                <c:pt idx="8">
                  <c:v>0.1079</c:v>
                </c:pt>
              </c:numCache>
            </c:numRef>
          </c:yVal>
          <c:smooth val="0"/>
        </c:ser>
        <c:dLbls>
          <c:showLegendKey val="0"/>
          <c:showVal val="0"/>
          <c:showCatName val="0"/>
          <c:showSerName val="0"/>
          <c:showPercent val="0"/>
          <c:showBubbleSize val="0"/>
        </c:dLbls>
        <c:axId val="173353600"/>
        <c:axId val="173355776"/>
      </c:scatterChart>
      <c:scatterChart>
        <c:scatterStyle val="smoothMarker"/>
        <c:varyColors val="0"/>
        <c:ser>
          <c:idx val="0"/>
          <c:order val="2"/>
          <c:tx>
            <c:v>x_GPT</c:v>
          </c:tx>
          <c:spPr>
            <a:ln w="19050"/>
          </c:spPr>
          <c:marker>
            <c:symbol val="none"/>
          </c:marker>
          <c:xVal>
            <c:numRef>
              <c:f>Sheet1!$H$2:$H$52</c:f>
              <c:numCache>
                <c:formatCode>General</c:formatCode>
                <c:ptCount val="51"/>
                <c:pt idx="0">
                  <c:v>-5</c:v>
                </c:pt>
                <c:pt idx="1">
                  <c:v>-4.8</c:v>
                </c:pt>
                <c:pt idx="2">
                  <c:v>-4.5999999999999996</c:v>
                </c:pt>
                <c:pt idx="3">
                  <c:v>-4.4000000000000004</c:v>
                </c:pt>
                <c:pt idx="4">
                  <c:v>-4.2</c:v>
                </c:pt>
                <c:pt idx="5">
                  <c:v>-4</c:v>
                </c:pt>
                <c:pt idx="6">
                  <c:v>-3.8</c:v>
                </c:pt>
                <c:pt idx="7">
                  <c:v>-3.6</c:v>
                </c:pt>
                <c:pt idx="8">
                  <c:v>-3.4</c:v>
                </c:pt>
                <c:pt idx="9">
                  <c:v>-3.2</c:v>
                </c:pt>
                <c:pt idx="10">
                  <c:v>-3</c:v>
                </c:pt>
                <c:pt idx="11">
                  <c:v>-2.8</c:v>
                </c:pt>
                <c:pt idx="12">
                  <c:v>-2.6</c:v>
                </c:pt>
                <c:pt idx="13">
                  <c:v>-2.4</c:v>
                </c:pt>
                <c:pt idx="14">
                  <c:v>-2.2000000000000002</c:v>
                </c:pt>
                <c:pt idx="15">
                  <c:v>-2</c:v>
                </c:pt>
                <c:pt idx="16">
                  <c:v>-1.8</c:v>
                </c:pt>
                <c:pt idx="17">
                  <c:v>-1.6</c:v>
                </c:pt>
                <c:pt idx="18">
                  <c:v>-1.4</c:v>
                </c:pt>
                <c:pt idx="19">
                  <c:v>-1.2</c:v>
                </c:pt>
                <c:pt idx="20">
                  <c:v>-1</c:v>
                </c:pt>
                <c:pt idx="21">
                  <c:v>-0.8</c:v>
                </c:pt>
                <c:pt idx="22">
                  <c:v>-0.6</c:v>
                </c:pt>
                <c:pt idx="23">
                  <c:v>-0.4</c:v>
                </c:pt>
                <c:pt idx="24">
                  <c:v>-0.2</c:v>
                </c:pt>
                <c:pt idx="25">
                  <c:v>0</c:v>
                </c:pt>
                <c:pt idx="26">
                  <c:v>0.2</c:v>
                </c:pt>
                <c:pt idx="27">
                  <c:v>0.4</c:v>
                </c:pt>
                <c:pt idx="28">
                  <c:v>0.6</c:v>
                </c:pt>
                <c:pt idx="29">
                  <c:v>0.8</c:v>
                </c:pt>
                <c:pt idx="30">
                  <c:v>1</c:v>
                </c:pt>
                <c:pt idx="31">
                  <c:v>1.2</c:v>
                </c:pt>
                <c:pt idx="32">
                  <c:v>1.4</c:v>
                </c:pt>
                <c:pt idx="33">
                  <c:v>1.6</c:v>
                </c:pt>
                <c:pt idx="34">
                  <c:v>1.8</c:v>
                </c:pt>
                <c:pt idx="35">
                  <c:v>2</c:v>
                </c:pt>
                <c:pt idx="36">
                  <c:v>2.2000000000000002</c:v>
                </c:pt>
                <c:pt idx="37">
                  <c:v>2.4</c:v>
                </c:pt>
                <c:pt idx="38">
                  <c:v>2.6</c:v>
                </c:pt>
                <c:pt idx="39">
                  <c:v>2.8</c:v>
                </c:pt>
                <c:pt idx="40">
                  <c:v>3</c:v>
                </c:pt>
                <c:pt idx="41">
                  <c:v>3.2</c:v>
                </c:pt>
                <c:pt idx="42">
                  <c:v>3.4</c:v>
                </c:pt>
                <c:pt idx="43">
                  <c:v>3.6</c:v>
                </c:pt>
                <c:pt idx="44">
                  <c:v>3.8</c:v>
                </c:pt>
                <c:pt idx="45">
                  <c:v>4</c:v>
                </c:pt>
                <c:pt idx="46">
                  <c:v>4.2</c:v>
                </c:pt>
                <c:pt idx="47">
                  <c:v>4.4000000000000004</c:v>
                </c:pt>
                <c:pt idx="48">
                  <c:v>4.5999999999999996</c:v>
                </c:pt>
                <c:pt idx="49">
                  <c:v>4.8</c:v>
                </c:pt>
                <c:pt idx="50">
                  <c:v>5</c:v>
                </c:pt>
              </c:numCache>
            </c:numRef>
          </c:xVal>
          <c:yVal>
            <c:numRef>
              <c:f>Sheet1!$I$2:$I$52</c:f>
              <c:numCache>
                <c:formatCode>General</c:formatCode>
                <c:ptCount val="51"/>
                <c:pt idx="0">
                  <c:v>0.1099</c:v>
                </c:pt>
                <c:pt idx="1">
                  <c:v>8.1499999999999989E-2</c:v>
                </c:pt>
                <c:pt idx="2">
                  <c:v>8.8290000000000007E-2</c:v>
                </c:pt>
                <c:pt idx="3">
                  <c:v>9.9530000000000007E-2</c:v>
                </c:pt>
                <c:pt idx="4">
                  <c:v>8.9660000000000004E-2</c:v>
                </c:pt>
                <c:pt idx="5">
                  <c:v>7.6359999999999997E-2</c:v>
                </c:pt>
                <c:pt idx="6">
                  <c:v>7.304999999999999E-2</c:v>
                </c:pt>
                <c:pt idx="7">
                  <c:v>7.2899999999999993E-2</c:v>
                </c:pt>
                <c:pt idx="8">
                  <c:v>7.3020000000000002E-2</c:v>
                </c:pt>
                <c:pt idx="9">
                  <c:v>7.3829999999999993E-2</c:v>
                </c:pt>
                <c:pt idx="10">
                  <c:v>7.3189999999999991E-2</c:v>
                </c:pt>
                <c:pt idx="11">
                  <c:v>7.2419999999999998E-2</c:v>
                </c:pt>
                <c:pt idx="12">
                  <c:v>7.2160000000000002E-2</c:v>
                </c:pt>
                <c:pt idx="13">
                  <c:v>7.2840000000000002E-2</c:v>
                </c:pt>
                <c:pt idx="14">
                  <c:v>7.2389999999999996E-2</c:v>
                </c:pt>
                <c:pt idx="15">
                  <c:v>7.2050000000000003E-2</c:v>
                </c:pt>
                <c:pt idx="16">
                  <c:v>7.196000000000001E-2</c:v>
                </c:pt>
                <c:pt idx="17">
                  <c:v>7.22E-2</c:v>
                </c:pt>
                <c:pt idx="18">
                  <c:v>7.1989999999999998E-2</c:v>
                </c:pt>
                <c:pt idx="19">
                  <c:v>7.1919999999999998E-2</c:v>
                </c:pt>
                <c:pt idx="20">
                  <c:v>7.2169999999999998E-2</c:v>
                </c:pt>
                <c:pt idx="21">
                  <c:v>7.1980000000000002E-2</c:v>
                </c:pt>
                <c:pt idx="22">
                  <c:v>7.2169999999999998E-2</c:v>
                </c:pt>
                <c:pt idx="23">
                  <c:v>7.2069999999999995E-2</c:v>
                </c:pt>
                <c:pt idx="24">
                  <c:v>7.213E-2</c:v>
                </c:pt>
                <c:pt idx="25">
                  <c:v>7.213E-2</c:v>
                </c:pt>
                <c:pt idx="26">
                  <c:v>7.2079999999999991E-2</c:v>
                </c:pt>
                <c:pt idx="27">
                  <c:v>7.2069999999999995E-2</c:v>
                </c:pt>
                <c:pt idx="28">
                  <c:v>7.2030000000000011E-2</c:v>
                </c:pt>
                <c:pt idx="29">
                  <c:v>7.213E-2</c:v>
                </c:pt>
                <c:pt idx="30">
                  <c:v>7.238E-2</c:v>
                </c:pt>
                <c:pt idx="31">
                  <c:v>7.2400000000000006E-2</c:v>
                </c:pt>
                <c:pt idx="32">
                  <c:v>7.2050000000000003E-2</c:v>
                </c:pt>
                <c:pt idx="33">
                  <c:v>7.2120000000000004E-2</c:v>
                </c:pt>
                <c:pt idx="34">
                  <c:v>7.2120000000000004E-2</c:v>
                </c:pt>
                <c:pt idx="35">
                  <c:v>7.2730000000000003E-2</c:v>
                </c:pt>
                <c:pt idx="36">
                  <c:v>7.2669999999999998E-2</c:v>
                </c:pt>
                <c:pt idx="37">
                  <c:v>7.3029999999999998E-2</c:v>
                </c:pt>
                <c:pt idx="38">
                  <c:v>7.2679999999999995E-2</c:v>
                </c:pt>
                <c:pt idx="39">
                  <c:v>7.2330000000000005E-2</c:v>
                </c:pt>
                <c:pt idx="40">
                  <c:v>7.2550000000000003E-2</c:v>
                </c:pt>
                <c:pt idx="41">
                  <c:v>7.4779999999999999E-2</c:v>
                </c:pt>
                <c:pt idx="42">
                  <c:v>7.6899999999999996E-2</c:v>
                </c:pt>
                <c:pt idx="43">
                  <c:v>7.4760000000000007E-2</c:v>
                </c:pt>
                <c:pt idx="44">
                  <c:v>7.356E-2</c:v>
                </c:pt>
                <c:pt idx="45">
                  <c:v>7.3300000000000004E-2</c:v>
                </c:pt>
                <c:pt idx="46">
                  <c:v>8.0890000000000004E-2</c:v>
                </c:pt>
                <c:pt idx="47">
                  <c:v>9.9129999999999996E-2</c:v>
                </c:pt>
                <c:pt idx="48">
                  <c:v>9.7040000000000001E-2</c:v>
                </c:pt>
                <c:pt idx="49">
                  <c:v>8.9279999999999998E-2</c:v>
                </c:pt>
                <c:pt idx="50">
                  <c:v>0.1179</c:v>
                </c:pt>
              </c:numCache>
            </c:numRef>
          </c:yVal>
          <c:smooth val="1"/>
        </c:ser>
        <c:ser>
          <c:idx val="1"/>
          <c:order val="3"/>
          <c:tx>
            <c:v>y_GPT</c:v>
          </c:tx>
          <c:spPr>
            <a:ln w="19050"/>
          </c:spPr>
          <c:marker>
            <c:symbol val="none"/>
          </c:marker>
          <c:xVal>
            <c:numRef>
              <c:f>Sheet1!$H$2:$H$52</c:f>
              <c:numCache>
                <c:formatCode>General</c:formatCode>
                <c:ptCount val="51"/>
                <c:pt idx="0">
                  <c:v>-5</c:v>
                </c:pt>
                <c:pt idx="1">
                  <c:v>-4.8</c:v>
                </c:pt>
                <c:pt idx="2">
                  <c:v>-4.5999999999999996</c:v>
                </c:pt>
                <c:pt idx="3">
                  <c:v>-4.4000000000000004</c:v>
                </c:pt>
                <c:pt idx="4">
                  <c:v>-4.2</c:v>
                </c:pt>
                <c:pt idx="5">
                  <c:v>-4</c:v>
                </c:pt>
                <c:pt idx="6">
                  <c:v>-3.8</c:v>
                </c:pt>
                <c:pt idx="7">
                  <c:v>-3.6</c:v>
                </c:pt>
                <c:pt idx="8">
                  <c:v>-3.4</c:v>
                </c:pt>
                <c:pt idx="9">
                  <c:v>-3.2</c:v>
                </c:pt>
                <c:pt idx="10">
                  <c:v>-3</c:v>
                </c:pt>
                <c:pt idx="11">
                  <c:v>-2.8</c:v>
                </c:pt>
                <c:pt idx="12">
                  <c:v>-2.6</c:v>
                </c:pt>
                <c:pt idx="13">
                  <c:v>-2.4</c:v>
                </c:pt>
                <c:pt idx="14">
                  <c:v>-2.2000000000000002</c:v>
                </c:pt>
                <c:pt idx="15">
                  <c:v>-2</c:v>
                </c:pt>
                <c:pt idx="16">
                  <c:v>-1.8</c:v>
                </c:pt>
                <c:pt idx="17">
                  <c:v>-1.6</c:v>
                </c:pt>
                <c:pt idx="18">
                  <c:v>-1.4</c:v>
                </c:pt>
                <c:pt idx="19">
                  <c:v>-1.2</c:v>
                </c:pt>
                <c:pt idx="20">
                  <c:v>-1</c:v>
                </c:pt>
                <c:pt idx="21">
                  <c:v>-0.8</c:v>
                </c:pt>
                <c:pt idx="22">
                  <c:v>-0.6</c:v>
                </c:pt>
                <c:pt idx="23">
                  <c:v>-0.4</c:v>
                </c:pt>
                <c:pt idx="24">
                  <c:v>-0.2</c:v>
                </c:pt>
                <c:pt idx="25">
                  <c:v>0</c:v>
                </c:pt>
                <c:pt idx="26">
                  <c:v>0.2</c:v>
                </c:pt>
                <c:pt idx="27">
                  <c:v>0.4</c:v>
                </c:pt>
                <c:pt idx="28">
                  <c:v>0.6</c:v>
                </c:pt>
                <c:pt idx="29">
                  <c:v>0.8</c:v>
                </c:pt>
                <c:pt idx="30">
                  <c:v>1</c:v>
                </c:pt>
                <c:pt idx="31">
                  <c:v>1.2</c:v>
                </c:pt>
                <c:pt idx="32">
                  <c:v>1.4</c:v>
                </c:pt>
                <c:pt idx="33">
                  <c:v>1.6</c:v>
                </c:pt>
                <c:pt idx="34">
                  <c:v>1.8</c:v>
                </c:pt>
                <c:pt idx="35">
                  <c:v>2</c:v>
                </c:pt>
                <c:pt idx="36">
                  <c:v>2.2000000000000002</c:v>
                </c:pt>
                <c:pt idx="37">
                  <c:v>2.4</c:v>
                </c:pt>
                <c:pt idx="38">
                  <c:v>2.6</c:v>
                </c:pt>
                <c:pt idx="39">
                  <c:v>2.8</c:v>
                </c:pt>
                <c:pt idx="40">
                  <c:v>3</c:v>
                </c:pt>
                <c:pt idx="41">
                  <c:v>3.2</c:v>
                </c:pt>
                <c:pt idx="42">
                  <c:v>3.4</c:v>
                </c:pt>
                <c:pt idx="43">
                  <c:v>3.6</c:v>
                </c:pt>
                <c:pt idx="44">
                  <c:v>3.8</c:v>
                </c:pt>
                <c:pt idx="45">
                  <c:v>4</c:v>
                </c:pt>
                <c:pt idx="46">
                  <c:v>4.2</c:v>
                </c:pt>
                <c:pt idx="47">
                  <c:v>4.4000000000000004</c:v>
                </c:pt>
                <c:pt idx="48">
                  <c:v>4.5999999999999996</c:v>
                </c:pt>
                <c:pt idx="49">
                  <c:v>4.8</c:v>
                </c:pt>
                <c:pt idx="50">
                  <c:v>5</c:v>
                </c:pt>
              </c:numCache>
            </c:numRef>
          </c:xVal>
          <c:yVal>
            <c:numRef>
              <c:f>Sheet1!$J$2:$J$52</c:f>
              <c:numCache>
                <c:formatCode>General</c:formatCode>
                <c:ptCount val="51"/>
                <c:pt idx="0">
                  <c:v>8.7989999999999999E-2</c:v>
                </c:pt>
                <c:pt idx="1">
                  <c:v>8.6279999999999996E-2</c:v>
                </c:pt>
                <c:pt idx="2">
                  <c:v>8.5539999999999991E-2</c:v>
                </c:pt>
                <c:pt idx="3">
                  <c:v>8.5099999999999995E-2</c:v>
                </c:pt>
                <c:pt idx="4">
                  <c:v>8.4900000000000003E-2</c:v>
                </c:pt>
                <c:pt idx="5">
                  <c:v>8.474000000000001E-2</c:v>
                </c:pt>
                <c:pt idx="6">
                  <c:v>8.4589999999999999E-2</c:v>
                </c:pt>
                <c:pt idx="7">
                  <c:v>8.4439999999999987E-2</c:v>
                </c:pt>
                <c:pt idx="8">
                  <c:v>8.4269999999999998E-2</c:v>
                </c:pt>
                <c:pt idx="9">
                  <c:v>8.4269999999999998E-2</c:v>
                </c:pt>
                <c:pt idx="10">
                  <c:v>8.4320000000000006E-2</c:v>
                </c:pt>
                <c:pt idx="11">
                  <c:v>8.4409999999999999E-2</c:v>
                </c:pt>
                <c:pt idx="12">
                  <c:v>8.4359999999999991E-2</c:v>
                </c:pt>
                <c:pt idx="13">
                  <c:v>8.4190000000000001E-2</c:v>
                </c:pt>
                <c:pt idx="14">
                  <c:v>8.4010000000000001E-2</c:v>
                </c:pt>
                <c:pt idx="15">
                  <c:v>8.4059999999999996E-2</c:v>
                </c:pt>
                <c:pt idx="16">
                  <c:v>8.3989999999999995E-2</c:v>
                </c:pt>
                <c:pt idx="17">
                  <c:v>8.3970000000000003E-2</c:v>
                </c:pt>
                <c:pt idx="18">
                  <c:v>8.4030000000000007E-2</c:v>
                </c:pt>
                <c:pt idx="19">
                  <c:v>8.405E-2</c:v>
                </c:pt>
                <c:pt idx="20">
                  <c:v>8.4080000000000002E-2</c:v>
                </c:pt>
                <c:pt idx="21">
                  <c:v>8.412E-2</c:v>
                </c:pt>
                <c:pt idx="22">
                  <c:v>8.4159999999999999E-2</c:v>
                </c:pt>
                <c:pt idx="23">
                  <c:v>8.4159999999999999E-2</c:v>
                </c:pt>
                <c:pt idx="24">
                  <c:v>8.4209999999999993E-2</c:v>
                </c:pt>
                <c:pt idx="25">
                  <c:v>8.4190000000000001E-2</c:v>
                </c:pt>
                <c:pt idx="26">
                  <c:v>8.4139999999999993E-2</c:v>
                </c:pt>
                <c:pt idx="27">
                  <c:v>8.4150000000000003E-2</c:v>
                </c:pt>
                <c:pt idx="28">
                  <c:v>8.4100000000000008E-2</c:v>
                </c:pt>
                <c:pt idx="29">
                  <c:v>8.4170000000000009E-2</c:v>
                </c:pt>
                <c:pt idx="30">
                  <c:v>8.4199999999999997E-2</c:v>
                </c:pt>
                <c:pt idx="31">
                  <c:v>8.4240000000000009E-2</c:v>
                </c:pt>
                <c:pt idx="32">
                  <c:v>8.4209999999999993E-2</c:v>
                </c:pt>
                <c:pt idx="33">
                  <c:v>8.4040000000000004E-2</c:v>
                </c:pt>
                <c:pt idx="34">
                  <c:v>8.4040000000000004E-2</c:v>
                </c:pt>
                <c:pt idx="35">
                  <c:v>8.4129999999999996E-2</c:v>
                </c:pt>
                <c:pt idx="36">
                  <c:v>8.4199999999999997E-2</c:v>
                </c:pt>
                <c:pt idx="37">
                  <c:v>8.4229999999999999E-2</c:v>
                </c:pt>
                <c:pt idx="38">
                  <c:v>8.4170000000000009E-2</c:v>
                </c:pt>
                <c:pt idx="39">
                  <c:v>8.4199999999999997E-2</c:v>
                </c:pt>
                <c:pt idx="40">
                  <c:v>8.4170000000000009E-2</c:v>
                </c:pt>
                <c:pt idx="41">
                  <c:v>8.43E-2</c:v>
                </c:pt>
                <c:pt idx="42">
                  <c:v>8.4589999999999999E-2</c:v>
                </c:pt>
                <c:pt idx="43">
                  <c:v>8.4760000000000002E-2</c:v>
                </c:pt>
                <c:pt idx="44">
                  <c:v>8.4489999999999996E-2</c:v>
                </c:pt>
                <c:pt idx="45">
                  <c:v>8.4339999999999998E-2</c:v>
                </c:pt>
                <c:pt idx="46">
                  <c:v>8.4569999999999992E-2</c:v>
                </c:pt>
                <c:pt idx="47">
                  <c:v>8.5519999999999999E-2</c:v>
                </c:pt>
                <c:pt idx="48">
                  <c:v>8.7660000000000002E-2</c:v>
                </c:pt>
                <c:pt idx="49">
                  <c:v>8.9470000000000008E-2</c:v>
                </c:pt>
                <c:pt idx="50">
                  <c:v>8.9700000000000002E-2</c:v>
                </c:pt>
              </c:numCache>
            </c:numRef>
          </c:yVal>
          <c:smooth val="1"/>
        </c:ser>
        <c:dLbls>
          <c:showLegendKey val="0"/>
          <c:showVal val="0"/>
          <c:showCatName val="0"/>
          <c:showSerName val="0"/>
          <c:showPercent val="0"/>
          <c:showBubbleSize val="0"/>
        </c:dLbls>
        <c:axId val="173353600"/>
        <c:axId val="173355776"/>
      </c:scatterChart>
      <c:valAx>
        <c:axId val="173353600"/>
        <c:scaling>
          <c:orientation val="minMax"/>
          <c:max val="6"/>
          <c:min val="-6"/>
        </c:scaling>
        <c:delete val="0"/>
        <c:axPos val="b"/>
        <c:majorGridlines>
          <c:spPr>
            <a:ln>
              <a:solidFill>
                <a:schemeClr val="tx1"/>
              </a:solidFill>
            </a:ln>
          </c:spPr>
        </c:majorGridlines>
        <c:title>
          <c:tx>
            <c:rich>
              <a:bodyPr/>
              <a:lstStyle/>
              <a:p>
                <a:pPr>
                  <a:defRPr/>
                </a:pPr>
                <a:r>
                  <a:rPr lang="en-US" sz="900" b="0"/>
                  <a:t>Laser Position along X Axis (mm)</a:t>
                </a:r>
              </a:p>
            </c:rich>
          </c:tx>
          <c:layout>
            <c:manualLayout>
              <c:xMode val="edge"/>
              <c:yMode val="edge"/>
              <c:x val="0.27894259811145955"/>
              <c:y val="0.87465837470953078"/>
            </c:manualLayout>
          </c:layout>
          <c:overlay val="0"/>
        </c:title>
        <c:numFmt formatCode="General" sourceLinked="1"/>
        <c:majorTickMark val="in"/>
        <c:minorTickMark val="none"/>
        <c:tickLblPos val="nextTo"/>
        <c:txPr>
          <a:bodyPr/>
          <a:lstStyle/>
          <a:p>
            <a:pPr>
              <a:defRPr sz="800" baseline="0"/>
            </a:pPr>
            <a:endParaRPr lang="en-US"/>
          </a:p>
        </c:txPr>
        <c:crossAx val="173355776"/>
        <c:crosses val="autoZero"/>
        <c:crossBetween val="midCat"/>
        <c:majorUnit val="2"/>
      </c:valAx>
      <c:valAx>
        <c:axId val="173355776"/>
        <c:scaling>
          <c:orientation val="minMax"/>
          <c:max val="0.2"/>
          <c:min val="0"/>
        </c:scaling>
        <c:delete val="0"/>
        <c:axPos val="l"/>
        <c:majorGridlines>
          <c:spPr>
            <a:ln>
              <a:solidFill>
                <a:schemeClr val="tx1"/>
              </a:solidFill>
            </a:ln>
          </c:spPr>
        </c:majorGridlines>
        <c:title>
          <c:tx>
            <c:rich>
              <a:bodyPr rot="-5400000" vert="horz"/>
              <a:lstStyle/>
              <a:p>
                <a:pPr>
                  <a:defRPr/>
                </a:pPr>
                <a:r>
                  <a:rPr lang="en-US" sz="900" b="0"/>
                  <a:t>Emittance (mm mrad)</a:t>
                </a:r>
              </a:p>
            </c:rich>
          </c:tx>
          <c:layout>
            <c:manualLayout>
              <c:xMode val="edge"/>
              <c:yMode val="edge"/>
              <c:x val="3.8343142260801016E-2"/>
              <c:y val="0.1100262467191601"/>
            </c:manualLayout>
          </c:layout>
          <c:overlay val="0"/>
        </c:title>
        <c:numFmt formatCode="General" sourceLinked="1"/>
        <c:majorTickMark val="in"/>
        <c:minorTickMark val="none"/>
        <c:tickLblPos val="nextTo"/>
        <c:txPr>
          <a:bodyPr/>
          <a:lstStyle/>
          <a:p>
            <a:pPr>
              <a:defRPr sz="800" baseline="0"/>
            </a:pPr>
            <a:endParaRPr lang="en-US"/>
          </a:p>
        </c:txPr>
        <c:crossAx val="173353600"/>
        <c:crossesAt val="-6"/>
        <c:crossBetween val="midCat"/>
        <c:majorUnit val="0.1"/>
      </c:valAx>
      <c:spPr>
        <a:ln w="9525">
          <a:solidFill>
            <a:schemeClr val="tx1"/>
          </a:solidFill>
        </a:ln>
      </c:spPr>
    </c:plotArea>
    <c:legend>
      <c:legendPos val="r"/>
      <c:layout>
        <c:manualLayout>
          <c:xMode val="edge"/>
          <c:yMode val="edge"/>
          <c:x val="0.45158080495910707"/>
          <c:y val="0.11400776657303802"/>
          <c:w val="0.2162235181353184"/>
          <c:h val="0.26516124080981102"/>
        </c:manualLayout>
      </c:layout>
      <c:overlay val="0"/>
      <c:spPr>
        <a:ln>
          <a:solidFill>
            <a:srgbClr val="00B050"/>
          </a:solidFill>
        </a:ln>
      </c:spPr>
      <c:txPr>
        <a:bodyPr/>
        <a:lstStyle/>
        <a:p>
          <a:pPr>
            <a:defRPr sz="600" baseline="0"/>
          </a:pPr>
          <a:endParaRPr lang="en-US"/>
        </a:p>
      </c:txPr>
    </c:legend>
    <c:plotVisOnly val="1"/>
    <c:dispBlanksAs val="gap"/>
    <c:showDLblsOverMax val="0"/>
  </c:chart>
  <c:spPr>
    <a:ln w="9525">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3187140003404"/>
          <c:y val="9.3422938658600352E-2"/>
          <c:w val="0.73456379386023851"/>
          <c:h val="0.68648923050130028"/>
        </c:manualLayout>
      </c:layout>
      <c:scatterChart>
        <c:scatterStyle val="lineMarker"/>
        <c:varyColors val="0"/>
        <c:ser>
          <c:idx val="2"/>
          <c:order val="0"/>
          <c:tx>
            <c:v>x</c:v>
          </c:tx>
          <c:spPr>
            <a:ln w="28575">
              <a:noFill/>
            </a:ln>
          </c:spPr>
          <c:marker>
            <c:symbol val="square"/>
            <c:size val="4"/>
            <c:spPr>
              <a:solidFill>
                <a:srgbClr val="FF0000"/>
              </a:solidFill>
            </c:spPr>
          </c:marker>
          <c:errBars>
            <c:errDir val="y"/>
            <c:errBarType val="both"/>
            <c:errValType val="percentage"/>
            <c:noEndCap val="0"/>
            <c:val val="10"/>
          </c:errBars>
          <c:xVal>
            <c:numRef>
              <c:f>Sheet1!$Q$3:$Q$10</c:f>
              <c:numCache>
                <c:formatCode>General</c:formatCode>
                <c:ptCount val="8"/>
                <c:pt idx="0">
                  <c:v>-4</c:v>
                </c:pt>
                <c:pt idx="1">
                  <c:v>-2</c:v>
                </c:pt>
                <c:pt idx="2">
                  <c:v>-0.5</c:v>
                </c:pt>
                <c:pt idx="3">
                  <c:v>0</c:v>
                </c:pt>
                <c:pt idx="4">
                  <c:v>0.5</c:v>
                </c:pt>
                <c:pt idx="5">
                  <c:v>2</c:v>
                </c:pt>
                <c:pt idx="6">
                  <c:v>3.5</c:v>
                </c:pt>
                <c:pt idx="7">
                  <c:v>5</c:v>
                </c:pt>
              </c:numCache>
            </c:numRef>
          </c:xVal>
          <c:yVal>
            <c:numRef>
              <c:f>Sheet1!$R$3:$R$10</c:f>
              <c:numCache>
                <c:formatCode>General</c:formatCode>
                <c:ptCount val="8"/>
                <c:pt idx="0">
                  <c:v>0.14399999999999999</c:v>
                </c:pt>
                <c:pt idx="1">
                  <c:v>8.6099999999999996E-2</c:v>
                </c:pt>
                <c:pt idx="2">
                  <c:v>0.1009</c:v>
                </c:pt>
                <c:pt idx="3">
                  <c:v>7.17E-2</c:v>
                </c:pt>
                <c:pt idx="4">
                  <c:v>9.4E-2</c:v>
                </c:pt>
                <c:pt idx="5">
                  <c:v>8.2400000000000001E-2</c:v>
                </c:pt>
                <c:pt idx="6">
                  <c:v>0.1021</c:v>
                </c:pt>
                <c:pt idx="7">
                  <c:v>0.16470000000000001</c:v>
                </c:pt>
              </c:numCache>
            </c:numRef>
          </c:yVal>
          <c:smooth val="0"/>
        </c:ser>
        <c:ser>
          <c:idx val="3"/>
          <c:order val="1"/>
          <c:tx>
            <c:v>y</c:v>
          </c:tx>
          <c:spPr>
            <a:ln w="28575">
              <a:noFill/>
            </a:ln>
          </c:spPr>
          <c:marker>
            <c:symbol val="circle"/>
            <c:size val="4"/>
            <c:spPr>
              <a:solidFill>
                <a:srgbClr val="0070C0"/>
              </a:solidFill>
            </c:spPr>
          </c:marker>
          <c:errBars>
            <c:errDir val="y"/>
            <c:errBarType val="both"/>
            <c:errValType val="percentage"/>
            <c:noEndCap val="0"/>
            <c:val val="10"/>
          </c:errBars>
          <c:xVal>
            <c:numRef>
              <c:f>Sheet1!$Q$3:$Q$10</c:f>
              <c:numCache>
                <c:formatCode>General</c:formatCode>
                <c:ptCount val="8"/>
                <c:pt idx="0">
                  <c:v>-4</c:v>
                </c:pt>
                <c:pt idx="1">
                  <c:v>-2</c:v>
                </c:pt>
                <c:pt idx="2">
                  <c:v>-0.5</c:v>
                </c:pt>
                <c:pt idx="3">
                  <c:v>0</c:v>
                </c:pt>
                <c:pt idx="4">
                  <c:v>0.5</c:v>
                </c:pt>
                <c:pt idx="5">
                  <c:v>2</c:v>
                </c:pt>
                <c:pt idx="6">
                  <c:v>3.5</c:v>
                </c:pt>
                <c:pt idx="7">
                  <c:v>5</c:v>
                </c:pt>
              </c:numCache>
            </c:numRef>
          </c:xVal>
          <c:yVal>
            <c:numRef>
              <c:f>Sheet1!$S$3:$S$10</c:f>
              <c:numCache>
                <c:formatCode>General</c:formatCode>
                <c:ptCount val="8"/>
                <c:pt idx="0">
                  <c:v>0.13400000000000001</c:v>
                </c:pt>
                <c:pt idx="1">
                  <c:v>8.8200000000000001E-2</c:v>
                </c:pt>
                <c:pt idx="2">
                  <c:v>8.5099999999999995E-2</c:v>
                </c:pt>
                <c:pt idx="3">
                  <c:v>8.3799999999999999E-2</c:v>
                </c:pt>
                <c:pt idx="4">
                  <c:v>9.4E-2</c:v>
                </c:pt>
                <c:pt idx="5">
                  <c:v>8.5900000000000004E-2</c:v>
                </c:pt>
                <c:pt idx="6">
                  <c:v>0.108</c:v>
                </c:pt>
                <c:pt idx="7">
                  <c:v>0.1938</c:v>
                </c:pt>
              </c:numCache>
            </c:numRef>
          </c:yVal>
          <c:smooth val="0"/>
        </c:ser>
        <c:dLbls>
          <c:showLegendKey val="0"/>
          <c:showVal val="0"/>
          <c:showCatName val="0"/>
          <c:showSerName val="0"/>
          <c:showPercent val="0"/>
          <c:showBubbleSize val="0"/>
        </c:dLbls>
        <c:axId val="167534976"/>
        <c:axId val="167536896"/>
      </c:scatterChart>
      <c:scatterChart>
        <c:scatterStyle val="smoothMarker"/>
        <c:varyColors val="0"/>
        <c:ser>
          <c:idx val="0"/>
          <c:order val="2"/>
          <c:tx>
            <c:v>x_GPT</c:v>
          </c:tx>
          <c:spPr>
            <a:ln w="19050">
              <a:solidFill>
                <a:srgbClr val="FF0000"/>
              </a:solidFill>
            </a:ln>
          </c:spPr>
          <c:marker>
            <c:symbol val="none"/>
          </c:marker>
          <c:xVal>
            <c:numRef>
              <c:f>Sheet1!$Z$2:$Z$52</c:f>
              <c:numCache>
                <c:formatCode>General</c:formatCode>
                <c:ptCount val="51"/>
                <c:pt idx="0">
                  <c:v>-5</c:v>
                </c:pt>
                <c:pt idx="1">
                  <c:v>-4.8</c:v>
                </c:pt>
                <c:pt idx="2">
                  <c:v>-4.5999999999999996</c:v>
                </c:pt>
                <c:pt idx="3">
                  <c:v>-4.4000000000000004</c:v>
                </c:pt>
                <c:pt idx="4">
                  <c:v>-4.2</c:v>
                </c:pt>
                <c:pt idx="5">
                  <c:v>-4</c:v>
                </c:pt>
                <c:pt idx="6">
                  <c:v>-3.8</c:v>
                </c:pt>
                <c:pt idx="7">
                  <c:v>-3.6</c:v>
                </c:pt>
                <c:pt idx="8">
                  <c:v>-3.4</c:v>
                </c:pt>
                <c:pt idx="9">
                  <c:v>-3.2</c:v>
                </c:pt>
                <c:pt idx="10">
                  <c:v>-3</c:v>
                </c:pt>
                <c:pt idx="11">
                  <c:v>-2.8</c:v>
                </c:pt>
                <c:pt idx="12">
                  <c:v>-2.6</c:v>
                </c:pt>
                <c:pt idx="13">
                  <c:v>-2.4</c:v>
                </c:pt>
                <c:pt idx="14">
                  <c:v>-2.2000000000000002</c:v>
                </c:pt>
                <c:pt idx="15">
                  <c:v>-2</c:v>
                </c:pt>
                <c:pt idx="16">
                  <c:v>-1.8</c:v>
                </c:pt>
                <c:pt idx="17">
                  <c:v>-1.6</c:v>
                </c:pt>
                <c:pt idx="18">
                  <c:v>-1.4</c:v>
                </c:pt>
                <c:pt idx="19">
                  <c:v>-1.2</c:v>
                </c:pt>
                <c:pt idx="20">
                  <c:v>-1</c:v>
                </c:pt>
                <c:pt idx="21">
                  <c:v>-0.8</c:v>
                </c:pt>
                <c:pt idx="22">
                  <c:v>-0.6</c:v>
                </c:pt>
                <c:pt idx="23">
                  <c:v>-0.4</c:v>
                </c:pt>
                <c:pt idx="24">
                  <c:v>-0.2</c:v>
                </c:pt>
                <c:pt idx="25">
                  <c:v>0</c:v>
                </c:pt>
                <c:pt idx="26">
                  <c:v>0.2</c:v>
                </c:pt>
                <c:pt idx="27">
                  <c:v>0.4</c:v>
                </c:pt>
                <c:pt idx="28">
                  <c:v>0.6</c:v>
                </c:pt>
                <c:pt idx="29">
                  <c:v>0.8</c:v>
                </c:pt>
                <c:pt idx="30">
                  <c:v>1</c:v>
                </c:pt>
                <c:pt idx="31">
                  <c:v>1.2</c:v>
                </c:pt>
                <c:pt idx="32">
                  <c:v>1.4</c:v>
                </c:pt>
                <c:pt idx="33">
                  <c:v>1.6</c:v>
                </c:pt>
                <c:pt idx="34">
                  <c:v>1.8</c:v>
                </c:pt>
                <c:pt idx="35">
                  <c:v>2</c:v>
                </c:pt>
                <c:pt idx="36">
                  <c:v>2.2000000000000002</c:v>
                </c:pt>
                <c:pt idx="37">
                  <c:v>2.4</c:v>
                </c:pt>
                <c:pt idx="38">
                  <c:v>2.6</c:v>
                </c:pt>
                <c:pt idx="39">
                  <c:v>2.8</c:v>
                </c:pt>
                <c:pt idx="40">
                  <c:v>3</c:v>
                </c:pt>
                <c:pt idx="41">
                  <c:v>3.2</c:v>
                </c:pt>
                <c:pt idx="42">
                  <c:v>3.4</c:v>
                </c:pt>
                <c:pt idx="43">
                  <c:v>3.6</c:v>
                </c:pt>
                <c:pt idx="44">
                  <c:v>3.8</c:v>
                </c:pt>
                <c:pt idx="45">
                  <c:v>4</c:v>
                </c:pt>
                <c:pt idx="46">
                  <c:v>4.2</c:v>
                </c:pt>
                <c:pt idx="47">
                  <c:v>4.4000000000000004</c:v>
                </c:pt>
                <c:pt idx="48">
                  <c:v>4.5999999999999996</c:v>
                </c:pt>
                <c:pt idx="49">
                  <c:v>4.8</c:v>
                </c:pt>
                <c:pt idx="50">
                  <c:v>5</c:v>
                </c:pt>
              </c:numCache>
            </c:numRef>
          </c:xVal>
          <c:yVal>
            <c:numRef>
              <c:f>Sheet1!$AA$2:$AA$52</c:f>
              <c:numCache>
                <c:formatCode>General</c:formatCode>
                <c:ptCount val="51"/>
                <c:pt idx="0">
                  <c:v>7.6109999999999997E-2</c:v>
                </c:pt>
                <c:pt idx="1">
                  <c:v>7.6729999999999993E-2</c:v>
                </c:pt>
                <c:pt idx="2">
                  <c:v>7.7700000000000005E-2</c:v>
                </c:pt>
                <c:pt idx="3">
                  <c:v>7.6579999999999995E-2</c:v>
                </c:pt>
                <c:pt idx="4">
                  <c:v>7.3870000000000005E-2</c:v>
                </c:pt>
                <c:pt idx="5">
                  <c:v>7.2510000000000005E-2</c:v>
                </c:pt>
                <c:pt idx="6">
                  <c:v>7.2270000000000001E-2</c:v>
                </c:pt>
                <c:pt idx="7">
                  <c:v>7.2340000000000002E-2</c:v>
                </c:pt>
                <c:pt idx="8">
                  <c:v>7.2480000000000003E-2</c:v>
                </c:pt>
                <c:pt idx="9">
                  <c:v>7.2489999999999999E-2</c:v>
                </c:pt>
                <c:pt idx="10">
                  <c:v>7.2480000000000003E-2</c:v>
                </c:pt>
                <c:pt idx="11">
                  <c:v>7.2300000000000003E-2</c:v>
                </c:pt>
                <c:pt idx="12">
                  <c:v>7.2219999999999993E-2</c:v>
                </c:pt>
                <c:pt idx="13">
                  <c:v>7.2160000000000002E-2</c:v>
                </c:pt>
                <c:pt idx="14">
                  <c:v>7.2139999999999996E-2</c:v>
                </c:pt>
                <c:pt idx="15">
                  <c:v>7.2090000000000001E-2</c:v>
                </c:pt>
                <c:pt idx="16">
                  <c:v>7.2120000000000004E-2</c:v>
                </c:pt>
                <c:pt idx="17">
                  <c:v>7.2099999999999997E-2</c:v>
                </c:pt>
                <c:pt idx="18">
                  <c:v>7.2120000000000004E-2</c:v>
                </c:pt>
                <c:pt idx="19">
                  <c:v>7.2079999999999991E-2</c:v>
                </c:pt>
                <c:pt idx="20">
                  <c:v>7.2040000000000007E-2</c:v>
                </c:pt>
                <c:pt idx="21">
                  <c:v>7.2069999999999995E-2</c:v>
                </c:pt>
                <c:pt idx="22">
                  <c:v>7.2069999999999995E-2</c:v>
                </c:pt>
                <c:pt idx="23">
                  <c:v>7.2079999999999991E-2</c:v>
                </c:pt>
                <c:pt idx="24">
                  <c:v>7.2149999999999992E-2</c:v>
                </c:pt>
                <c:pt idx="25">
                  <c:v>7.213E-2</c:v>
                </c:pt>
                <c:pt idx="26">
                  <c:v>7.2090000000000001E-2</c:v>
                </c:pt>
                <c:pt idx="27">
                  <c:v>7.2050000000000003E-2</c:v>
                </c:pt>
                <c:pt idx="28">
                  <c:v>7.2110000000000007E-2</c:v>
                </c:pt>
                <c:pt idx="29">
                  <c:v>7.2110000000000007E-2</c:v>
                </c:pt>
                <c:pt idx="30">
                  <c:v>7.2059999999999999E-2</c:v>
                </c:pt>
                <c:pt idx="31">
                  <c:v>7.2040000000000007E-2</c:v>
                </c:pt>
                <c:pt idx="32">
                  <c:v>7.2040000000000007E-2</c:v>
                </c:pt>
                <c:pt idx="33">
                  <c:v>7.2040000000000007E-2</c:v>
                </c:pt>
                <c:pt idx="34">
                  <c:v>7.2079999999999991E-2</c:v>
                </c:pt>
                <c:pt idx="35">
                  <c:v>7.2149999999999992E-2</c:v>
                </c:pt>
                <c:pt idx="36">
                  <c:v>7.2270000000000001E-2</c:v>
                </c:pt>
                <c:pt idx="37">
                  <c:v>7.2340000000000002E-2</c:v>
                </c:pt>
                <c:pt idx="38">
                  <c:v>7.2250000000000009E-2</c:v>
                </c:pt>
                <c:pt idx="39">
                  <c:v>7.2110000000000007E-2</c:v>
                </c:pt>
                <c:pt idx="40">
                  <c:v>7.2190000000000004E-2</c:v>
                </c:pt>
                <c:pt idx="41">
                  <c:v>7.2230000000000003E-2</c:v>
                </c:pt>
                <c:pt idx="42">
                  <c:v>7.2289999999999993E-2</c:v>
                </c:pt>
                <c:pt idx="43">
                  <c:v>7.2459999999999997E-2</c:v>
                </c:pt>
                <c:pt idx="44">
                  <c:v>7.2180000000000008E-2</c:v>
                </c:pt>
                <c:pt idx="45">
                  <c:v>7.2989999999999999E-2</c:v>
                </c:pt>
                <c:pt idx="46">
                  <c:v>7.468000000000001E-2</c:v>
                </c:pt>
                <c:pt idx="47">
                  <c:v>7.6530000000000001E-2</c:v>
                </c:pt>
                <c:pt idx="48">
                  <c:v>7.5969999999999996E-2</c:v>
                </c:pt>
                <c:pt idx="49">
                  <c:v>7.4950000000000003E-2</c:v>
                </c:pt>
                <c:pt idx="50">
                  <c:v>7.569999999999999E-2</c:v>
                </c:pt>
              </c:numCache>
            </c:numRef>
          </c:yVal>
          <c:smooth val="1"/>
        </c:ser>
        <c:ser>
          <c:idx val="1"/>
          <c:order val="3"/>
          <c:tx>
            <c:v>y_GPT</c:v>
          </c:tx>
          <c:spPr>
            <a:ln w="19050">
              <a:solidFill>
                <a:srgbClr val="0070C0"/>
              </a:solidFill>
            </a:ln>
          </c:spPr>
          <c:marker>
            <c:symbol val="none"/>
          </c:marker>
          <c:xVal>
            <c:numRef>
              <c:f>Sheet1!$Z$2:$Z$52</c:f>
              <c:numCache>
                <c:formatCode>General</c:formatCode>
                <c:ptCount val="51"/>
                <c:pt idx="0">
                  <c:v>-5</c:v>
                </c:pt>
                <c:pt idx="1">
                  <c:v>-4.8</c:v>
                </c:pt>
                <c:pt idx="2">
                  <c:v>-4.5999999999999996</c:v>
                </c:pt>
                <c:pt idx="3">
                  <c:v>-4.4000000000000004</c:v>
                </c:pt>
                <c:pt idx="4">
                  <c:v>-4.2</c:v>
                </c:pt>
                <c:pt idx="5">
                  <c:v>-4</c:v>
                </c:pt>
                <c:pt idx="6">
                  <c:v>-3.8</c:v>
                </c:pt>
                <c:pt idx="7">
                  <c:v>-3.6</c:v>
                </c:pt>
                <c:pt idx="8">
                  <c:v>-3.4</c:v>
                </c:pt>
                <c:pt idx="9">
                  <c:v>-3.2</c:v>
                </c:pt>
                <c:pt idx="10">
                  <c:v>-3</c:v>
                </c:pt>
                <c:pt idx="11">
                  <c:v>-2.8</c:v>
                </c:pt>
                <c:pt idx="12">
                  <c:v>-2.6</c:v>
                </c:pt>
                <c:pt idx="13">
                  <c:v>-2.4</c:v>
                </c:pt>
                <c:pt idx="14">
                  <c:v>-2.2000000000000002</c:v>
                </c:pt>
                <c:pt idx="15">
                  <c:v>-2</c:v>
                </c:pt>
                <c:pt idx="16">
                  <c:v>-1.8</c:v>
                </c:pt>
                <c:pt idx="17">
                  <c:v>-1.6</c:v>
                </c:pt>
                <c:pt idx="18">
                  <c:v>-1.4</c:v>
                </c:pt>
                <c:pt idx="19">
                  <c:v>-1.2</c:v>
                </c:pt>
                <c:pt idx="20">
                  <c:v>-1</c:v>
                </c:pt>
                <c:pt idx="21">
                  <c:v>-0.8</c:v>
                </c:pt>
                <c:pt idx="22">
                  <c:v>-0.6</c:v>
                </c:pt>
                <c:pt idx="23">
                  <c:v>-0.4</c:v>
                </c:pt>
                <c:pt idx="24">
                  <c:v>-0.2</c:v>
                </c:pt>
                <c:pt idx="25">
                  <c:v>0</c:v>
                </c:pt>
                <c:pt idx="26">
                  <c:v>0.2</c:v>
                </c:pt>
                <c:pt idx="27">
                  <c:v>0.4</c:v>
                </c:pt>
                <c:pt idx="28">
                  <c:v>0.6</c:v>
                </c:pt>
                <c:pt idx="29">
                  <c:v>0.8</c:v>
                </c:pt>
                <c:pt idx="30">
                  <c:v>1</c:v>
                </c:pt>
                <c:pt idx="31">
                  <c:v>1.2</c:v>
                </c:pt>
                <c:pt idx="32">
                  <c:v>1.4</c:v>
                </c:pt>
                <c:pt idx="33">
                  <c:v>1.6</c:v>
                </c:pt>
                <c:pt idx="34">
                  <c:v>1.8</c:v>
                </c:pt>
                <c:pt idx="35">
                  <c:v>2</c:v>
                </c:pt>
                <c:pt idx="36">
                  <c:v>2.2000000000000002</c:v>
                </c:pt>
                <c:pt idx="37">
                  <c:v>2.4</c:v>
                </c:pt>
                <c:pt idx="38">
                  <c:v>2.6</c:v>
                </c:pt>
                <c:pt idx="39">
                  <c:v>2.8</c:v>
                </c:pt>
                <c:pt idx="40">
                  <c:v>3</c:v>
                </c:pt>
                <c:pt idx="41">
                  <c:v>3.2</c:v>
                </c:pt>
                <c:pt idx="42">
                  <c:v>3.4</c:v>
                </c:pt>
                <c:pt idx="43">
                  <c:v>3.6</c:v>
                </c:pt>
                <c:pt idx="44">
                  <c:v>3.8</c:v>
                </c:pt>
                <c:pt idx="45">
                  <c:v>4</c:v>
                </c:pt>
                <c:pt idx="46">
                  <c:v>4.2</c:v>
                </c:pt>
                <c:pt idx="47">
                  <c:v>4.4000000000000004</c:v>
                </c:pt>
                <c:pt idx="48">
                  <c:v>4.5999999999999996</c:v>
                </c:pt>
                <c:pt idx="49">
                  <c:v>4.8</c:v>
                </c:pt>
                <c:pt idx="50">
                  <c:v>5</c:v>
                </c:pt>
              </c:numCache>
            </c:numRef>
          </c:xVal>
          <c:yVal>
            <c:numRef>
              <c:f>Sheet1!$AB$2:$AB$52</c:f>
              <c:numCache>
                <c:formatCode>General</c:formatCode>
                <c:ptCount val="51"/>
                <c:pt idx="0">
                  <c:v>0.15040000000000001</c:v>
                </c:pt>
                <c:pt idx="1">
                  <c:v>0.1048</c:v>
                </c:pt>
                <c:pt idx="2">
                  <c:v>9.8650000000000002E-2</c:v>
                </c:pt>
                <c:pt idx="3">
                  <c:v>0.10840000000000001</c:v>
                </c:pt>
                <c:pt idx="4">
                  <c:v>9.8239999999999994E-2</c:v>
                </c:pt>
                <c:pt idx="5">
                  <c:v>8.6599999999999996E-2</c:v>
                </c:pt>
                <c:pt idx="6">
                  <c:v>8.4830000000000003E-2</c:v>
                </c:pt>
                <c:pt idx="7">
                  <c:v>8.5040000000000004E-2</c:v>
                </c:pt>
                <c:pt idx="8">
                  <c:v>8.5430000000000006E-2</c:v>
                </c:pt>
                <c:pt idx="9">
                  <c:v>8.5969999999999991E-2</c:v>
                </c:pt>
                <c:pt idx="10">
                  <c:v>8.5500000000000007E-2</c:v>
                </c:pt>
                <c:pt idx="11">
                  <c:v>8.4589999999999999E-2</c:v>
                </c:pt>
                <c:pt idx="12">
                  <c:v>8.4170000000000009E-2</c:v>
                </c:pt>
                <c:pt idx="13">
                  <c:v>8.3970000000000003E-2</c:v>
                </c:pt>
                <c:pt idx="14">
                  <c:v>8.3790000000000003E-2</c:v>
                </c:pt>
                <c:pt idx="15">
                  <c:v>8.4279999999999994E-2</c:v>
                </c:pt>
                <c:pt idx="16">
                  <c:v>8.4240000000000009E-2</c:v>
                </c:pt>
                <c:pt idx="17">
                  <c:v>8.448E-2</c:v>
                </c:pt>
                <c:pt idx="18">
                  <c:v>8.4260000000000002E-2</c:v>
                </c:pt>
                <c:pt idx="19">
                  <c:v>8.4219999999999989E-2</c:v>
                </c:pt>
                <c:pt idx="20">
                  <c:v>8.4069999999999992E-2</c:v>
                </c:pt>
                <c:pt idx="21">
                  <c:v>8.4110000000000004E-2</c:v>
                </c:pt>
                <c:pt idx="22">
                  <c:v>8.4089999999999998E-2</c:v>
                </c:pt>
                <c:pt idx="23">
                  <c:v>8.4190000000000001E-2</c:v>
                </c:pt>
                <c:pt idx="24">
                  <c:v>8.4229999999999999E-2</c:v>
                </c:pt>
                <c:pt idx="25">
                  <c:v>8.4190000000000001E-2</c:v>
                </c:pt>
                <c:pt idx="26">
                  <c:v>8.4139999999999993E-2</c:v>
                </c:pt>
                <c:pt idx="27">
                  <c:v>8.3949999999999997E-2</c:v>
                </c:pt>
                <c:pt idx="28">
                  <c:v>8.4139999999999993E-2</c:v>
                </c:pt>
                <c:pt idx="29">
                  <c:v>8.4129999999999996E-2</c:v>
                </c:pt>
                <c:pt idx="30">
                  <c:v>8.4040000000000004E-2</c:v>
                </c:pt>
                <c:pt idx="31">
                  <c:v>8.4110000000000004E-2</c:v>
                </c:pt>
                <c:pt idx="32">
                  <c:v>8.3930000000000005E-2</c:v>
                </c:pt>
                <c:pt idx="33">
                  <c:v>8.3930000000000005E-2</c:v>
                </c:pt>
                <c:pt idx="34">
                  <c:v>8.4159999999999999E-2</c:v>
                </c:pt>
                <c:pt idx="35">
                  <c:v>8.4199999999999997E-2</c:v>
                </c:pt>
                <c:pt idx="36">
                  <c:v>8.3640000000000006E-2</c:v>
                </c:pt>
                <c:pt idx="37">
                  <c:v>8.4639999999999993E-2</c:v>
                </c:pt>
                <c:pt idx="38">
                  <c:v>8.4460000000000007E-2</c:v>
                </c:pt>
                <c:pt idx="39">
                  <c:v>8.4170000000000009E-2</c:v>
                </c:pt>
                <c:pt idx="40">
                  <c:v>8.4929999999999992E-2</c:v>
                </c:pt>
                <c:pt idx="41">
                  <c:v>8.548E-2</c:v>
                </c:pt>
                <c:pt idx="42">
                  <c:v>8.4750000000000006E-2</c:v>
                </c:pt>
                <c:pt idx="43">
                  <c:v>8.4849999999999995E-2</c:v>
                </c:pt>
                <c:pt idx="44">
                  <c:v>7.5209999999999999E-2</c:v>
                </c:pt>
                <c:pt idx="45">
                  <c:v>8.7579999999999991E-2</c:v>
                </c:pt>
                <c:pt idx="46">
                  <c:v>9.3759999999999996E-2</c:v>
                </c:pt>
                <c:pt idx="47">
                  <c:v>9.8889999999999992E-2</c:v>
                </c:pt>
                <c:pt idx="48">
                  <c:v>9.3310000000000004E-2</c:v>
                </c:pt>
                <c:pt idx="49">
                  <c:v>0.1052</c:v>
                </c:pt>
                <c:pt idx="50">
                  <c:v>0.15440000000000001</c:v>
                </c:pt>
              </c:numCache>
            </c:numRef>
          </c:yVal>
          <c:smooth val="1"/>
        </c:ser>
        <c:dLbls>
          <c:showLegendKey val="0"/>
          <c:showVal val="0"/>
          <c:showCatName val="0"/>
          <c:showSerName val="0"/>
          <c:showPercent val="0"/>
          <c:showBubbleSize val="0"/>
        </c:dLbls>
        <c:axId val="167534976"/>
        <c:axId val="167536896"/>
      </c:scatterChart>
      <c:valAx>
        <c:axId val="167534976"/>
        <c:scaling>
          <c:orientation val="minMax"/>
          <c:max val="6"/>
          <c:min val="-6"/>
        </c:scaling>
        <c:delete val="0"/>
        <c:axPos val="b"/>
        <c:majorGridlines/>
        <c:title>
          <c:tx>
            <c:rich>
              <a:bodyPr/>
              <a:lstStyle/>
              <a:p>
                <a:pPr>
                  <a:defRPr/>
                </a:pPr>
                <a:r>
                  <a:rPr lang="en-US" sz="900" b="0"/>
                  <a:t>Laser Position along Y Axis (mm)</a:t>
                </a:r>
              </a:p>
            </c:rich>
          </c:tx>
          <c:layout>
            <c:manualLayout>
              <c:xMode val="edge"/>
              <c:yMode val="edge"/>
              <c:x val="0.25722666295562752"/>
              <c:y val="0.88267584421074885"/>
            </c:manualLayout>
          </c:layout>
          <c:overlay val="0"/>
        </c:title>
        <c:numFmt formatCode="General" sourceLinked="1"/>
        <c:majorTickMark val="in"/>
        <c:minorTickMark val="none"/>
        <c:tickLblPos val="nextTo"/>
        <c:txPr>
          <a:bodyPr/>
          <a:lstStyle/>
          <a:p>
            <a:pPr>
              <a:defRPr sz="800" baseline="0"/>
            </a:pPr>
            <a:endParaRPr lang="en-US"/>
          </a:p>
        </c:txPr>
        <c:crossAx val="167536896"/>
        <c:crosses val="autoZero"/>
        <c:crossBetween val="midCat"/>
        <c:majorUnit val="2"/>
      </c:valAx>
      <c:valAx>
        <c:axId val="167536896"/>
        <c:scaling>
          <c:orientation val="minMax"/>
          <c:max val="0.2"/>
          <c:min val="0"/>
        </c:scaling>
        <c:delete val="0"/>
        <c:axPos val="l"/>
        <c:majorGridlines>
          <c:spPr>
            <a:ln>
              <a:solidFill>
                <a:schemeClr val="tx1"/>
              </a:solidFill>
            </a:ln>
          </c:spPr>
        </c:majorGridlines>
        <c:title>
          <c:tx>
            <c:rich>
              <a:bodyPr rot="-5400000" vert="horz"/>
              <a:lstStyle/>
              <a:p>
                <a:pPr>
                  <a:defRPr/>
                </a:pPr>
                <a:r>
                  <a:rPr lang="en-US" sz="900" b="0"/>
                  <a:t>Emittance (mm mrad)</a:t>
                </a:r>
              </a:p>
            </c:rich>
          </c:tx>
          <c:layout>
            <c:manualLayout>
              <c:xMode val="edge"/>
              <c:yMode val="edge"/>
              <c:x val="3.3210609765929426E-2"/>
              <c:y val="7.9357776351876699E-2"/>
            </c:manualLayout>
          </c:layout>
          <c:overlay val="0"/>
        </c:title>
        <c:numFmt formatCode="General" sourceLinked="1"/>
        <c:majorTickMark val="in"/>
        <c:minorTickMark val="none"/>
        <c:tickLblPos val="nextTo"/>
        <c:txPr>
          <a:bodyPr/>
          <a:lstStyle/>
          <a:p>
            <a:pPr>
              <a:defRPr sz="800" baseline="0"/>
            </a:pPr>
            <a:endParaRPr lang="en-US"/>
          </a:p>
        </c:txPr>
        <c:crossAx val="167534976"/>
        <c:crossesAt val="-6"/>
        <c:crossBetween val="midCat"/>
        <c:majorUnit val="0.1"/>
      </c:valAx>
      <c:spPr>
        <a:ln w="9525">
          <a:solidFill>
            <a:sysClr val="windowText" lastClr="000000"/>
          </a:solid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197B19CF-2C24-4F27-A30F-3511321ED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JACoW_W10_A4-1</Template>
  <TotalTime>96</TotalTime>
  <Pages>4</Pages>
  <Words>2471</Words>
  <Characters>14090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 Wang</dc:creator>
  <cp:lastModifiedBy>Yan Wang</cp:lastModifiedBy>
  <cp:revision>9</cp:revision>
  <cp:lastPrinted>2018-04-25T18:26:00Z</cp:lastPrinted>
  <dcterms:created xsi:type="dcterms:W3CDTF">2018-04-25T18:08:00Z</dcterms:created>
  <dcterms:modified xsi:type="dcterms:W3CDTF">2018-04-26T14:43:00Z</dcterms:modified>
</cp:coreProperties>
</file>