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2647D" w14:textId="43FB28F5" w:rsidR="00FA2916" w:rsidRPr="002412D6" w:rsidRDefault="002412D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12D6">
        <w:rPr>
          <w:rFonts w:ascii="Times New Roman" w:hAnsi="Times New Roman" w:cs="Times New Roman"/>
          <w:b/>
          <w:bCs/>
          <w:sz w:val="24"/>
          <w:szCs w:val="24"/>
        </w:rPr>
        <w:t>NPS ERR Report Responses</w:t>
      </w:r>
    </w:p>
    <w:p w14:paraId="600A6F01" w14:textId="2D58ED2A" w:rsidR="002412D6" w:rsidRPr="002412D6" w:rsidRDefault="002412D6" w:rsidP="002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#1</w:t>
      </w:r>
    </w:p>
    <w:p w14:paraId="5909C7E6" w14:textId="77777777" w:rsidR="002412D6" w:rsidRDefault="002412D6" w:rsidP="002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6E42D02A" w14:textId="727AE3D8" w:rsidR="002412D6" w:rsidRPr="002412D6" w:rsidRDefault="002412D6" w:rsidP="002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6D94D7D9" w14:textId="57840D71" w:rsidR="002412D6" w:rsidRPr="002412D6" w:rsidRDefault="002412D6" w:rsidP="002412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color w:val="595959"/>
          <w:sz w:val="24"/>
          <w:szCs w:val="24"/>
        </w:rPr>
        <w:t>Number of settings presented in the first talk were different from the number of settings</w:t>
      </w:r>
      <w:r w:rsidRPr="002412D6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2412D6">
        <w:rPr>
          <w:rFonts w:ascii="Times New Roman" w:hAnsi="Times New Roman" w:cs="Times New Roman"/>
          <w:color w:val="595959"/>
          <w:sz w:val="24"/>
          <w:szCs w:val="24"/>
        </w:rPr>
        <w:t>shown in the radiation budget tables presented in the</w:t>
      </w:r>
      <w:r w:rsidRPr="002412D6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2412D6">
        <w:rPr>
          <w:rFonts w:ascii="Times New Roman" w:hAnsi="Times New Roman" w:cs="Times New Roman"/>
          <w:color w:val="595959"/>
          <w:sz w:val="24"/>
          <w:szCs w:val="24"/>
        </w:rPr>
        <w:t>second talk.</w:t>
      </w:r>
    </w:p>
    <w:p w14:paraId="0F333B23" w14:textId="6B55BEA1" w:rsidR="002412D6" w:rsidRDefault="002412D6" w:rsidP="00241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595959"/>
          <w:sz w:val="24"/>
          <w:szCs w:val="24"/>
        </w:rPr>
      </w:pP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It was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not clear how the quoted luminosities of 10E38 cm</w:t>
      </w:r>
      <w:r w:rsidRPr="005622EE">
        <w:rPr>
          <w:rFonts w:ascii="TimesNewRomanPSMT" w:hAnsi="TimesNewRomanPSMT" w:cs="TimesNewRomanPSMT"/>
          <w:color w:val="0000FF"/>
          <w:sz w:val="16"/>
          <w:szCs w:val="16"/>
        </w:rPr>
        <w:t xml:space="preserve">-2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sec</w:t>
      </w:r>
      <w:r w:rsidRPr="005622EE">
        <w:rPr>
          <w:rFonts w:ascii="TimesNewRomanPSMT" w:hAnsi="TimesNewRomanPSMT" w:cs="TimesNewRomanPSMT"/>
          <w:color w:val="0000FF"/>
          <w:sz w:val="16"/>
          <w:szCs w:val="16"/>
        </w:rPr>
        <w:t xml:space="preserve">-1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for electron runs and</w:t>
      </w:r>
      <w:r w:rsidRPr="005622E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1.5x10E38 cm</w:t>
      </w:r>
      <w:r w:rsidRPr="005622EE">
        <w:rPr>
          <w:rFonts w:ascii="TimesNewRomanPSMT" w:hAnsi="TimesNewRomanPSMT" w:cs="TimesNewRomanPSMT"/>
          <w:color w:val="0000FF"/>
          <w:sz w:val="16"/>
          <w:szCs w:val="16"/>
        </w:rPr>
        <w:t xml:space="preserve">-2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sec</w:t>
      </w:r>
      <w:r w:rsidRPr="005622EE">
        <w:rPr>
          <w:rFonts w:ascii="TimesNewRomanPSMT" w:hAnsi="TimesNewRomanPSMT" w:cs="TimesNewRomanPSMT"/>
          <w:color w:val="0000FF"/>
          <w:sz w:val="16"/>
          <w:szCs w:val="16"/>
        </w:rPr>
        <w:t xml:space="preserve">-1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for photon run group experiments were calculated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. Neither numbe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r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can be confirmed from the numbers (beam current and target thicknesses) presented in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the radiation budget tables.</w:t>
      </w:r>
      <w:r w:rsidRPr="002412D6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</w:p>
    <w:p w14:paraId="67FE768E" w14:textId="77777777" w:rsidR="002412D6" w:rsidRDefault="002412D6" w:rsidP="002412D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537F1289" w14:textId="07A57B61" w:rsidR="002412D6" w:rsidRPr="002412D6" w:rsidRDefault="002412D6" w:rsidP="002412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Recommendations</w:t>
      </w: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:</w:t>
      </w:r>
    </w:p>
    <w:p w14:paraId="26E55DFD" w14:textId="77777777" w:rsidR="002412D6" w:rsidRPr="002412D6" w:rsidRDefault="002412D6" w:rsidP="002412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While based on the presented NPS construction schedule and presumed time for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installation it is not likely that any of the NPS run groups will be scheduled to run before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the fall of 2021, it is recommended </w:t>
      </w:r>
      <w:r w:rsidRPr="002412D6">
        <w:rPr>
          <w:rFonts w:ascii="TimesNewRomanPSMT" w:hAnsi="TimesNewRomanPSMT" w:cs="TimesNewRomanPSMT"/>
          <w:color w:val="0000FF"/>
          <w:sz w:val="24"/>
          <w:szCs w:val="24"/>
        </w:rPr>
        <w:t>to draft a run plan for individual run groups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. The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order of running of different settings will matter from a radiation point of view as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activation of detector components will define the time needed for switching from one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setting to another (see also recommendation for Charge 7). This will directly affect beam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time scheduling, floor time vs. beam run time. </w:t>
      </w:r>
      <w:r w:rsidRPr="002412D6">
        <w:rPr>
          <w:rFonts w:ascii="TimesNewRomanPSMT" w:hAnsi="TimesNewRomanPSMT" w:cs="TimesNewRomanPSMT"/>
          <w:color w:val="0000FF"/>
          <w:sz w:val="24"/>
          <w:szCs w:val="24"/>
        </w:rPr>
        <w:t>Priorities between the settings of</w:t>
      </w:r>
      <w:r w:rsidRPr="002412D6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0000FF"/>
          <w:sz w:val="24"/>
          <w:szCs w:val="24"/>
        </w:rPr>
        <w:t>individual experiments must be defined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, as possibly longer changeover between settings</w:t>
      </w:r>
      <w:r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may not allow running of every setting.</w:t>
      </w:r>
    </w:p>
    <w:p w14:paraId="35F7BC7F" w14:textId="77777777" w:rsidR="002412D6" w:rsidRPr="002412D6" w:rsidRDefault="002412D6" w:rsidP="002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14:paraId="62231F43" w14:textId="7CDE89EA" w:rsidR="002412D6" w:rsidRPr="002412D6" w:rsidRDefault="002412D6" w:rsidP="002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</w:t>
      </w: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2</w:t>
      </w:r>
    </w:p>
    <w:p w14:paraId="78734140" w14:textId="77777777" w:rsidR="002412D6" w:rsidRPr="002412D6" w:rsidRDefault="002412D6" w:rsidP="002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369ECDFB" w14:textId="1F159DBF" w:rsidR="002412D6" w:rsidRPr="0074647D" w:rsidRDefault="002412D6" w:rsidP="002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0E96C708" w14:textId="4EC0D79B" w:rsidR="002412D6" w:rsidRPr="0074647D" w:rsidRDefault="002412D6" w:rsidP="002412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for 2a</w:t>
      </w:r>
      <w:r>
        <w:rPr>
          <w:rFonts w:ascii="TimesNewRomanPSMT" w:hAnsi="TimesNewRomanPSMT" w:cs="TimesNewRomanPSMT"/>
          <w:color w:val="595959"/>
          <w:sz w:val="24"/>
          <w:szCs w:val="24"/>
        </w:rPr>
        <w:t xml:space="preserve"> (magnet)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– Although there are power supplies that can be used for both coils of the magnet,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it is advised to identify exactly which power supplies will be used early on. Some of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existing (mentioned) power supplies have been reserved for other magnets/experiments</w:t>
      </w:r>
    </w:p>
    <w:p w14:paraId="4283155E" w14:textId="77777777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571C29AD" w14:textId="39D79901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74647D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Recommendations:</w:t>
      </w:r>
    </w:p>
    <w:p w14:paraId="28F3E24E" w14:textId="77777777" w:rsidR="0074647D" w:rsidRPr="0074647D" w:rsidRDefault="002412D6" w:rsidP="00746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2412D6"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>for 2a</w:t>
      </w:r>
      <w:r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 xml:space="preserve"> (magnet)</w:t>
      </w:r>
      <w:r w:rsidRPr="002412D6"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– The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test of the magnet in the hall to full current must be scheduled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. It will</w:t>
      </w:r>
      <w:r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require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resources for installation, connecting to the power and LCW. As was discussed at the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review it will be a month or more to complete this work. Therefore, it must be scheduled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beforehand as with installations and running of the ongoing experiments such test will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2412D6">
        <w:rPr>
          <w:rFonts w:ascii="TimesNewRomanPSMT" w:hAnsi="TimesNewRomanPSMT" w:cs="TimesNewRomanPSMT"/>
          <w:color w:val="595959"/>
          <w:sz w:val="24"/>
          <w:szCs w:val="24"/>
        </w:rPr>
        <w:t>become challenging.</w:t>
      </w:r>
    </w:p>
    <w:p w14:paraId="3511757A" w14:textId="19F1102B" w:rsidR="0074647D" w:rsidRPr="0074647D" w:rsidRDefault="0074647D" w:rsidP="00746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74647D"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>for 2a</w:t>
      </w:r>
      <w:r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 xml:space="preserve"> (magnet)</w:t>
      </w:r>
      <w:r w:rsidRPr="0074647D"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– Question of the high pressure LCW in the hall was not clear,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operating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parameters of the magnet must be provided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as regulation of the LCW pressure for the</w:t>
      </w:r>
      <w:r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magnet will be needed.</w:t>
      </w:r>
    </w:p>
    <w:p w14:paraId="1E153E3D" w14:textId="2896B71B" w:rsidR="0074647D" w:rsidRPr="0074647D" w:rsidRDefault="0074647D" w:rsidP="00746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74647D"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>for 2b</w:t>
      </w:r>
      <w:r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 xml:space="preserve"> (Calorimeter)</w:t>
      </w:r>
      <w:r w:rsidRPr="0074647D">
        <w:rPr>
          <w:rFonts w:ascii="TimesNewRomanPS-ItalicMT" w:hAnsi="TimesNewRomanPS-ItalicMT" w:cs="TimesNewRomanPS-ItalicMT"/>
          <w:i/>
          <w:iCs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–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Collaboration has to perform radiation hardness test of dividers and LED,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perhaps can be done together with radiation hardness tests of crystals.</w:t>
      </w:r>
    </w:p>
    <w:p w14:paraId="38FB3FFB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14:paraId="68D7C4D7" w14:textId="231F366E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</w:t>
      </w:r>
      <w:r>
        <w:rPr>
          <w:rFonts w:ascii="Times New Roman" w:hAnsi="Times New Roman" w:cs="Times New Roman"/>
          <w:b/>
          <w:bCs/>
          <w:color w:val="595959"/>
          <w:sz w:val="24"/>
          <w:szCs w:val="24"/>
        </w:rPr>
        <w:t>3</w:t>
      </w:r>
    </w:p>
    <w:p w14:paraId="38A76198" w14:textId="77777777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0857D6DE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3C2ADC4A" w14:textId="77777777" w:rsidR="0074647D" w:rsidRPr="0074647D" w:rsidRDefault="0074647D" w:rsidP="00746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74647D">
        <w:rPr>
          <w:rFonts w:ascii="TimesNewRomanPSMT" w:hAnsi="TimesNewRomanPSMT" w:cs="TimesNewRomanPSMT"/>
          <w:color w:val="000000"/>
          <w:sz w:val="24"/>
          <w:szCs w:val="24"/>
        </w:rPr>
        <w:t xml:space="preserve">No clear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proof to include amplifier with low gain as an active element of the divider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w</w:t>
      </w:r>
      <w:r w:rsidRPr="0074647D">
        <w:rPr>
          <w:rFonts w:ascii="TimesNewRomanPSMT" w:hAnsi="TimesNewRomanPSMT" w:cs="TimesNewRomanPSMT"/>
          <w:color w:val="000000"/>
          <w:sz w:val="24"/>
          <w:szCs w:val="24"/>
        </w:rPr>
        <w:t>as</w:t>
      </w:r>
      <w:r w:rsidRPr="0074647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000000"/>
          <w:sz w:val="24"/>
          <w:szCs w:val="24"/>
        </w:rPr>
        <w:t>presented.</w:t>
      </w:r>
    </w:p>
    <w:p w14:paraId="3182180D" w14:textId="105E2A74" w:rsidR="0074647D" w:rsidRPr="005622EE" w:rsidRDefault="0074647D" w:rsidP="00746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4647D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Calorimeter has to cover a wide energy range from 0.5 GeV to 7.6 GeV, but the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l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inearity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and resolution</w:t>
      </w:r>
      <w:r w:rsidRPr="0074647D">
        <w:rPr>
          <w:rFonts w:ascii="TimesNewRomanPSMT" w:hAnsi="TimesNewRomanPSMT" w:cs="TimesNewRomanPSMT"/>
          <w:color w:val="000000"/>
          <w:sz w:val="24"/>
          <w:szCs w:val="24"/>
        </w:rPr>
        <w:t xml:space="preserve"> have been studied only for energies &gt;3 GeV.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Studies of performance must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be extended to the full energy range.</w:t>
      </w:r>
    </w:p>
    <w:p w14:paraId="078F4BDB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14:paraId="70070F44" w14:textId="69FBFE86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74647D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Recommendations:</w:t>
      </w:r>
    </w:p>
    <w:p w14:paraId="5D8DCD13" w14:textId="77777777" w:rsidR="0074647D" w:rsidRPr="0074647D" w:rsidRDefault="0074647D" w:rsidP="00746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Clarify what the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threshold energy for individual modules should be for required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e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nergy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resolution and what the rates of each channel is expected with that thresholds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.</w:t>
      </w:r>
    </w:p>
    <w:p w14:paraId="34A075E0" w14:textId="10A6C031" w:rsidR="0074647D" w:rsidRPr="0074647D" w:rsidRDefault="0074647D" w:rsidP="00746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Develop a commissioning plan for the calorimeter</w:t>
      </w:r>
      <w:r w:rsidRPr="0074647D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6827DCF5" w14:textId="53E3B6C8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14:paraId="68A6568F" w14:textId="77777777" w:rsidR="00A95304" w:rsidRDefault="00A95304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14:paraId="19781005" w14:textId="071C6DA0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</w:t>
      </w:r>
      <w:r>
        <w:rPr>
          <w:rFonts w:ascii="Times New Roman" w:hAnsi="Times New Roman" w:cs="Times New Roman"/>
          <w:b/>
          <w:bCs/>
          <w:color w:val="595959"/>
          <w:sz w:val="24"/>
          <w:szCs w:val="24"/>
        </w:rPr>
        <w:t>4</w:t>
      </w:r>
    </w:p>
    <w:p w14:paraId="2E0B48D7" w14:textId="77777777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01F61C5A" w14:textId="40F7C43D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025950F4" w14:textId="536493C6" w:rsidR="0074647D" w:rsidRPr="0074647D" w:rsidRDefault="0074647D" w:rsidP="007464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The electron experiments will require a polarized beam. It was not clear what will </w:t>
      </w:r>
      <w:r>
        <w:rPr>
          <w:rFonts w:ascii="TimesNewRomanPSMT" w:hAnsi="TimesNewRomanPSMT" w:cs="TimesNewRomanPSMT"/>
          <w:color w:val="595959"/>
          <w:sz w:val="24"/>
          <w:szCs w:val="24"/>
        </w:rPr>
        <w:t>be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used to measure the beam polarization, how often. From current run experience, Wein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angle setting using presumed value for the beam energy is often incorrect. Depending on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the degree of polarization needed, some kind of “spin dance” may be needed to set </w:t>
      </w:r>
      <w:r>
        <w:rPr>
          <w:rFonts w:ascii="TimesNewRomanPSMT" w:hAnsi="TimesNewRomanPSMT" w:cs="TimesNewRomanPSMT"/>
          <w:color w:val="595959"/>
          <w:sz w:val="24"/>
          <w:szCs w:val="24"/>
        </w:rPr>
        <w:t>t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he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Wein angle correct for the optimum polarization transfer.</w:t>
      </w:r>
    </w:p>
    <w:p w14:paraId="571F4997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342D5CDB" w14:textId="56D4ED0A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74647D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Recommendations:</w:t>
      </w:r>
    </w:p>
    <w:p w14:paraId="7C3024CF" w14:textId="720E09DB" w:rsidR="0074647D" w:rsidRPr="0074647D" w:rsidRDefault="0074647D" w:rsidP="007464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Ownership and the controls of the sweeper magnet and the corrector coil are not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c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learly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defined. Procedures, and who and how will control the magnet for safe operations must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be provided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.</w:t>
      </w:r>
    </w:p>
    <w:p w14:paraId="1F9D05FB" w14:textId="207C3B7D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2B776513" w14:textId="27E46C23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</w:t>
      </w:r>
      <w:r>
        <w:rPr>
          <w:rFonts w:ascii="Times New Roman" w:hAnsi="Times New Roman" w:cs="Times New Roman"/>
          <w:b/>
          <w:bCs/>
          <w:color w:val="595959"/>
          <w:sz w:val="24"/>
          <w:szCs w:val="24"/>
        </w:rPr>
        <w:t>5</w:t>
      </w:r>
    </w:p>
    <w:p w14:paraId="1E6D4566" w14:textId="77777777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610C1612" w14:textId="77777777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27B79D56" w14:textId="69C013DD" w:rsidR="0074647D" w:rsidRPr="0074647D" w:rsidRDefault="0074647D" w:rsidP="007464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Responsible groups/individuals are identified for all mission critical jobs. Manpower is</w:t>
      </w:r>
      <w:r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adequate, most resources are defined for completion of the project.</w:t>
      </w:r>
    </w:p>
    <w:p w14:paraId="4A1BBC31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250F7660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74647D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Recommendations:</w:t>
      </w:r>
    </w:p>
    <w:p w14:paraId="5D3CFACB" w14:textId="02242215" w:rsidR="0074647D" w:rsidRDefault="0074647D" w:rsidP="007464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While software tasks for integration of the NPS into Hall-C offline analysis </w:t>
      </w:r>
      <w:r>
        <w:rPr>
          <w:rFonts w:ascii="TimesNewRomanPSMT" w:hAnsi="TimesNewRomanPSMT" w:cs="TimesNewRomanPSMT"/>
          <w:color w:val="595959"/>
          <w:sz w:val="24"/>
          <w:szCs w:val="24"/>
        </w:rPr>
        <w:t>s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oftware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framework are few and should not take too long to complete,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identifying people who will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0000FF"/>
          <w:sz w:val="24"/>
          <w:szCs w:val="24"/>
        </w:rPr>
        <w:t>work on these tasks must be done soon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.</w:t>
      </w:r>
    </w:p>
    <w:p w14:paraId="3F3C3667" w14:textId="08B919BA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</w:p>
    <w:p w14:paraId="401CA832" w14:textId="77777777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</w:p>
    <w:p w14:paraId="51429F00" w14:textId="46389769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</w:t>
      </w:r>
      <w:r>
        <w:rPr>
          <w:rFonts w:ascii="Times New Roman" w:hAnsi="Times New Roman" w:cs="Times New Roman"/>
          <w:b/>
          <w:bCs/>
          <w:color w:val="595959"/>
          <w:sz w:val="24"/>
          <w:szCs w:val="24"/>
        </w:rPr>
        <w:t>7</w:t>
      </w:r>
    </w:p>
    <w:p w14:paraId="03DAB50B" w14:textId="77777777" w:rsidR="0074647D" w:rsidRPr="002412D6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78602C00" w14:textId="77777777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5B42BEC2" w14:textId="77777777" w:rsidR="004C7D84" w:rsidRDefault="0074647D" w:rsidP="007464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proofErr w:type="spellStart"/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RadCon</w:t>
      </w:r>
      <w:proofErr w:type="spellEnd"/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department assistance will probably be needed to conduct/review some of </w:t>
      </w:r>
      <w:r>
        <w:rPr>
          <w:rFonts w:ascii="TimesNewRomanPSMT" w:hAnsi="TimesNewRomanPSMT" w:cs="TimesNewRomanPSMT"/>
          <w:color w:val="595959"/>
          <w:sz w:val="24"/>
          <w:szCs w:val="24"/>
        </w:rPr>
        <w:t>t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he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74647D">
        <w:rPr>
          <w:rFonts w:ascii="TimesNewRomanPSMT" w:hAnsi="TimesNewRomanPSMT" w:cs="TimesNewRomanPSMT"/>
          <w:color w:val="595959"/>
          <w:sz w:val="24"/>
          <w:szCs w:val="24"/>
        </w:rPr>
        <w:t>simulations. This should be coordinated with RCD as soon as possible.</w:t>
      </w:r>
      <w:r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</w:p>
    <w:p w14:paraId="467C7B22" w14:textId="50CF4E36" w:rsidR="0074647D" w:rsidRDefault="0074647D" w:rsidP="007464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Final boundary dose estimates should be calculated taking the radiator into account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.</w:t>
      </w:r>
      <w:r w:rsidR="004C7D84"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</w:p>
    <w:p w14:paraId="3BF85791" w14:textId="77777777" w:rsidR="004C7D84" w:rsidRPr="004C7D84" w:rsidRDefault="004C7D84" w:rsidP="004C7D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</w:p>
    <w:p w14:paraId="10AC02DC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74647D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Recommendations:</w:t>
      </w:r>
    </w:p>
    <w:p w14:paraId="1DFD1D9D" w14:textId="77777777" w:rsidR="004C7D84" w:rsidRDefault="004C7D84" w:rsidP="004C7D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Activation levels should be modeled to evaluate residual dose rate fields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. Results of </w:t>
      </w:r>
      <w:r>
        <w:rPr>
          <w:rFonts w:ascii="TimesNewRomanPSMT" w:hAnsi="TimesNewRomanPSMT" w:cs="TimesNewRomanPSMT"/>
          <w:color w:val="595959"/>
          <w:sz w:val="24"/>
          <w:szCs w:val="24"/>
        </w:rPr>
        <w:t>t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his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simulation will help with:</w:t>
      </w:r>
    </w:p>
    <w:p w14:paraId="18CD6CB1" w14:textId="77777777" w:rsidR="004C7D84" w:rsidRDefault="004C7D84" w:rsidP="004C7D8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4C7D84">
        <w:rPr>
          <w:rFonts w:ascii="TimesNewRomanPSMT" w:hAnsi="TimesNewRomanPSMT" w:cs="TimesNewRomanPSMT"/>
          <w:color w:val="595959"/>
          <w:sz w:val="24"/>
          <w:szCs w:val="24"/>
        </w:rPr>
        <w:lastRenderedPageBreak/>
        <w:t>decisions on the sequencing of the different configurations</w:t>
      </w:r>
    </w:p>
    <w:p w14:paraId="05E5C885" w14:textId="77777777" w:rsidR="004C7D84" w:rsidRDefault="004C7D84" w:rsidP="004C7D8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final design of sweeping magnet support hardware; if the magnet is in a high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radiation area, effort should be given to enhancing the hardware to reduce the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amount of hands-on manipulation needed.</w:t>
      </w:r>
    </w:p>
    <w:p w14:paraId="65EDE76F" w14:textId="3215B5A2" w:rsidR="004C7D84" w:rsidRPr="004C7D84" w:rsidRDefault="004C7D84" w:rsidP="004C7D8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decisions to apply local shielding at the radiator or elsewhere for ALARA.</w:t>
      </w:r>
    </w:p>
    <w:p w14:paraId="31F66014" w14:textId="25DBA70C" w:rsidR="0074647D" w:rsidRPr="004C7D84" w:rsidRDefault="004C7D84" w:rsidP="004C7D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Simulation was done and estimates were calculated for the integrated dose on </w:t>
      </w:r>
      <w:r>
        <w:rPr>
          <w:rFonts w:ascii="TimesNewRomanPSMT" w:hAnsi="TimesNewRomanPSMT" w:cs="TimesNewRomanPSMT"/>
          <w:color w:val="595959"/>
          <w:sz w:val="24"/>
          <w:szCs w:val="24"/>
        </w:rPr>
        <w:t>t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he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 xml:space="preserve">crystals.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Specific simulations to evaluate the radiation dose to the calorimeter electronics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should be conducted</w:t>
      </w:r>
      <w:r w:rsidRPr="004C7D84">
        <w:rPr>
          <w:rFonts w:ascii="TimesNewRomanPSMT" w:hAnsi="TimesNewRomanPSMT" w:cs="TimesNewRomanPSMT"/>
          <w:color w:val="595959"/>
          <w:sz w:val="24"/>
          <w:szCs w:val="24"/>
        </w:rPr>
        <w:t>.</w:t>
      </w:r>
    </w:p>
    <w:p w14:paraId="53D0B4E8" w14:textId="2552AE32" w:rsid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</w:p>
    <w:p w14:paraId="6FF18994" w14:textId="77777777" w:rsidR="00A95304" w:rsidRDefault="00A95304" w:rsidP="007464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</w:p>
    <w:p w14:paraId="3D037C4F" w14:textId="3A4FB5CE" w:rsidR="00A95304" w:rsidRPr="002412D6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</w:t>
      </w:r>
      <w:r>
        <w:rPr>
          <w:rFonts w:ascii="Times New Roman" w:hAnsi="Times New Roman" w:cs="Times New Roman"/>
          <w:b/>
          <w:bCs/>
          <w:color w:val="595959"/>
          <w:sz w:val="24"/>
          <w:szCs w:val="24"/>
        </w:rPr>
        <w:t>8</w:t>
      </w:r>
    </w:p>
    <w:p w14:paraId="49C4C9B0" w14:textId="77777777" w:rsidR="00A95304" w:rsidRPr="002412D6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1D7A4526" w14:textId="77777777" w:rsidR="00A95304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4D73126C" w14:textId="77777777" w:rsidR="00A95304" w:rsidRDefault="00A95304" w:rsidP="00A953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As NPS will remain in the Hall C equipment portfolio and may be used by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o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ther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experiments in the future, it would be advisable to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have well defined procedures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a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nd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prescriptions for performing simulations of charged and neutral particles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with the</w:t>
      </w:r>
      <w:r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integrated use of </w:t>
      </w:r>
      <w:proofErr w:type="spellStart"/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simC</w:t>
      </w:r>
      <w:proofErr w:type="spellEnd"/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 and of the GEANT4 simulation of the NPS calorimeter.</w:t>
      </w:r>
    </w:p>
    <w:p w14:paraId="7CC60A14" w14:textId="77777777" w:rsidR="00A95304" w:rsidRDefault="00A95304" w:rsidP="00A953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Even though the work involved is relatively limited, it is advisable to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assign task for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t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he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remaining software development tasks and define a timeline to have the work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c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ompleted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by early next year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 and have sufficient time for tests and possible upgrades before the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tools will be needed.</w:t>
      </w:r>
    </w:p>
    <w:p w14:paraId="1202EAD4" w14:textId="02919ABD" w:rsidR="00A95304" w:rsidRPr="00A95304" w:rsidRDefault="00A95304" w:rsidP="00A953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The GEANT4 simulation of the calorimeter will be crucial to tune the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r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econstruction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algorithms for neutral particles, determine acceptance and efficiency. Any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remaining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work to tune the simulations make this tool accessible to users should be completed as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soon as possible. This will also be crucial to simulate the trigger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readout: at this end, full simulation of the pulse shape, </w:t>
      </w:r>
      <w:proofErr w:type="spellStart"/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fADC</w:t>
      </w:r>
      <w:proofErr w:type="spellEnd"/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sampling and FPGA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algorithm will be necessary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. </w:t>
      </w:r>
    </w:p>
    <w:p w14:paraId="14F78EE0" w14:textId="77777777" w:rsidR="00A95304" w:rsidRPr="004C7D84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</w:p>
    <w:p w14:paraId="7830E244" w14:textId="77777777" w:rsidR="00A95304" w:rsidRPr="0074647D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74647D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Recommendations:</w:t>
      </w:r>
    </w:p>
    <w:p w14:paraId="3779A884" w14:textId="35FEF9C4" w:rsidR="0074647D" w:rsidRPr="005622EE" w:rsidRDefault="00A95304" w:rsidP="00A95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Define/present a plan for developing software for simulation of the NPS trigger and complete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i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ts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5622EE">
        <w:rPr>
          <w:rFonts w:ascii="TimesNewRomanPSMT" w:hAnsi="TimesNewRomanPSMT" w:cs="TimesNewRomanPSMT"/>
          <w:color w:val="0000FF"/>
          <w:sz w:val="24"/>
          <w:szCs w:val="24"/>
        </w:rPr>
        <w:t>validation during the NPS calorimeter commissioning</w:t>
      </w:r>
    </w:p>
    <w:p w14:paraId="11C0A8CD" w14:textId="59A4404A" w:rsidR="00A95304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43311A" w14:textId="77777777" w:rsidR="00A95304" w:rsidRPr="00A95304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181AC0" w14:textId="62E00FA9" w:rsidR="00A95304" w:rsidRPr="002412D6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color w:val="595959"/>
          <w:sz w:val="24"/>
          <w:szCs w:val="24"/>
        </w:rPr>
        <w:t>Charge #</w:t>
      </w:r>
      <w:r>
        <w:rPr>
          <w:rFonts w:ascii="Times New Roman" w:hAnsi="Times New Roman" w:cs="Times New Roman"/>
          <w:b/>
          <w:bCs/>
          <w:color w:val="595959"/>
          <w:sz w:val="24"/>
          <w:szCs w:val="24"/>
        </w:rPr>
        <w:t>9</w:t>
      </w:r>
    </w:p>
    <w:p w14:paraId="20C724D9" w14:textId="77777777" w:rsidR="00A95304" w:rsidRPr="002412D6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60DD4CC0" w14:textId="5F57B3EE" w:rsidR="00A95304" w:rsidRDefault="00A95304" w:rsidP="00A9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2412D6"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  <w:t>Comments:</w:t>
      </w:r>
    </w:p>
    <w:p w14:paraId="6031535B" w14:textId="77777777" w:rsidR="00A95304" w:rsidRDefault="00A95304" w:rsidP="00A95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NPS part is missing from ESAD (just started to implement).</w:t>
      </w:r>
    </w:p>
    <w:p w14:paraId="2B17B5C9" w14:textId="77777777" w:rsidR="00A95304" w:rsidRDefault="00A95304" w:rsidP="00A95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No RSAD ready yet, but preliminary boundary dose calculations are complete.</w:t>
      </w:r>
    </w:p>
    <w:p w14:paraId="4DEED108" w14:textId="668EBDBD" w:rsidR="00A95304" w:rsidRPr="00A95304" w:rsidRDefault="00A95304" w:rsidP="00A95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  <w:sz w:val="24"/>
          <w:szCs w:val="24"/>
        </w:rPr>
      </w:pP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A list of new OSPs has been presented, most are in motion but not complete yet. Having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OSPs approved in advance will ensure that no safety issues with running the detector and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 xml:space="preserve"> </w:t>
      </w:r>
      <w:r w:rsidRPr="00A95304">
        <w:rPr>
          <w:rFonts w:ascii="TimesNewRomanPSMT" w:hAnsi="TimesNewRomanPSMT" w:cs="TimesNewRomanPSMT"/>
          <w:color w:val="595959"/>
          <w:sz w:val="24"/>
          <w:szCs w:val="24"/>
        </w:rPr>
        <w:t>or performing the task.</w:t>
      </w:r>
    </w:p>
    <w:p w14:paraId="5902F9FC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</w:p>
    <w:p w14:paraId="61E7ECE6" w14:textId="77777777" w:rsidR="0074647D" w:rsidRPr="0074647D" w:rsidRDefault="0074647D" w:rsidP="0074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14:paraId="5E8686FC" w14:textId="77777777" w:rsidR="002412D6" w:rsidRPr="002412D6" w:rsidRDefault="002412D6" w:rsidP="002412D6">
      <w:pPr>
        <w:rPr>
          <w:rFonts w:ascii="Times New Roman" w:hAnsi="Times New Roman" w:cs="Times New Roman"/>
          <w:color w:val="595959"/>
          <w:sz w:val="24"/>
          <w:szCs w:val="24"/>
        </w:rPr>
      </w:pPr>
    </w:p>
    <w:p w14:paraId="1A10A634" w14:textId="77777777" w:rsidR="002412D6" w:rsidRDefault="002412D6" w:rsidP="002412D6">
      <w:pPr>
        <w:rPr>
          <w:rFonts w:ascii="Times New Roman" w:hAnsi="Times New Roman" w:cs="Times New Roman"/>
          <w:color w:val="595959"/>
          <w:sz w:val="24"/>
          <w:szCs w:val="24"/>
        </w:rPr>
      </w:pPr>
    </w:p>
    <w:p w14:paraId="35E58D16" w14:textId="42624A4D" w:rsidR="002412D6" w:rsidRDefault="002412D6" w:rsidP="002412D6">
      <w:pPr>
        <w:rPr>
          <w:rFonts w:ascii="Times New Roman" w:hAnsi="Times New Roman" w:cs="Times New Roman"/>
          <w:color w:val="595959"/>
          <w:sz w:val="24"/>
          <w:szCs w:val="24"/>
        </w:rPr>
      </w:pPr>
    </w:p>
    <w:p w14:paraId="4FC9467C" w14:textId="77777777" w:rsidR="002412D6" w:rsidRPr="002412D6" w:rsidRDefault="002412D6" w:rsidP="002412D6">
      <w:pPr>
        <w:rPr>
          <w:rFonts w:ascii="Times New Roman" w:hAnsi="Times New Roman" w:cs="Times New Roman"/>
          <w:sz w:val="24"/>
          <w:szCs w:val="24"/>
        </w:rPr>
      </w:pPr>
    </w:p>
    <w:p w14:paraId="41AED5A6" w14:textId="77777777" w:rsidR="002412D6" w:rsidRDefault="002412D6"/>
    <w:p w14:paraId="5825CD82" w14:textId="77777777" w:rsidR="002412D6" w:rsidRDefault="002412D6"/>
    <w:sectPr w:rsidR="00241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88C"/>
    <w:multiLevelType w:val="hybridMultilevel"/>
    <w:tmpl w:val="3FC61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0F1A"/>
    <w:multiLevelType w:val="hybridMultilevel"/>
    <w:tmpl w:val="37BC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516B"/>
    <w:multiLevelType w:val="hybridMultilevel"/>
    <w:tmpl w:val="4FE45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F59CF"/>
    <w:multiLevelType w:val="hybridMultilevel"/>
    <w:tmpl w:val="6B38C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7E06B7E"/>
    <w:multiLevelType w:val="hybridMultilevel"/>
    <w:tmpl w:val="C3E4B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24ADC"/>
    <w:multiLevelType w:val="hybridMultilevel"/>
    <w:tmpl w:val="07280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B07524"/>
    <w:multiLevelType w:val="hybridMultilevel"/>
    <w:tmpl w:val="4FDC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D6"/>
    <w:rsid w:val="002412D6"/>
    <w:rsid w:val="004C7D84"/>
    <w:rsid w:val="005622EE"/>
    <w:rsid w:val="0074647D"/>
    <w:rsid w:val="00A95304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D679"/>
  <w15:chartTrackingRefBased/>
  <w15:docId w15:val="{16627549-DE8A-428B-9926-5ECDED86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2019-06-06T12:10:00Z</dcterms:created>
  <dcterms:modified xsi:type="dcterms:W3CDTF">2019-06-06T12:46:00Z</dcterms:modified>
</cp:coreProperties>
</file>