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38" w:rsidRDefault="00257C38" w:rsidP="00257C38">
      <w:pPr>
        <w:pStyle w:val="Title"/>
      </w:pPr>
      <w:bookmarkStart w:id="0" w:name="_Toc429448501"/>
      <w:r>
        <w:t>Hazard Analysis</w:t>
      </w:r>
      <w:bookmarkEnd w:id="0"/>
    </w:p>
    <w:p w:rsidR="00257C38" w:rsidRDefault="00257C38" w:rsidP="00257C38">
      <w:r>
        <w:t xml:space="preserve">The tritium target is an alteration of the existing </w:t>
      </w:r>
      <w:proofErr w:type="spellStart"/>
      <w:r>
        <w:t>Qweak</w:t>
      </w:r>
      <w:proofErr w:type="spellEnd"/>
      <w:r>
        <w:t xml:space="preserve"> Target. The alterations required for this system to function for the tritium target are associated with the motion system (low voltage stepper motors) and cryogenic piping. A number of additional hazards associated with tritium are assumed. A loss of 1100 Ci of tritium are not in fact expected to pose a serious risk to JLAB personnel, the public, or the environment under any reasonable failure scenario. However, it is assumed that any loss of tritium could expose JLAB personnel to doses above those allowed by lab policy and could impose significant decontamination costs and interrupt schedules.</w:t>
      </w:r>
    </w:p>
    <w:p w:rsidR="00257C38" w:rsidRPr="00284125" w:rsidRDefault="00257C38" w:rsidP="00257C38">
      <w:r>
        <w:t xml:space="preserve">A formal Failure Modes and Effects Analysis using MIL-SPEC-1629A as guidance is given in Ref </w:t>
      </w:r>
      <w:r>
        <w:fldChar w:fldCharType="begin" w:fldLock="1"/>
      </w:r>
      <w:r>
        <w:instrText>ADDIN CSL_CITATION { "citationItems" : [ { "id" : "ITEM-1", "itemData" : { "author" : [ { "dropping-particle" : "", "family" : "Meekins", "given" : "Dave", "non-dropping-particle" : "", "parse-names" : false, "suffix" : "" } ], "id" : "ITEM-1", "issued" : { "date-parts" : [ [ "2015" ] ] }, "title" : "Hall A Tritium Target FMEA", "type" : "report" }, "uris" : [ "http://www.mendeley.com/documents/?uuid=dd991564-969e-453d-9db0-01ea88e5f1f8" ] }, { "id" : "ITEM-2", "itemData" : { "author" : [ { "dropping-particle" : "", "family" : "Stamatis", "given" : "DH", "non-dropping-particle" : "", "parse-names" : false, "suffix" : "" } ], "id" : "ITEM-2", "issued" : { "date-parts" : [ [ "2003" ] ] }, "title" : "Failure mode and effect analysis: FMEA from theory to execution", "type" : "book" }, "uris" : [ "http://www.mendeley.com/documents/?uuid=d9a0af86-5475-49b7-acfa-6d127cce166e" ] } ], "mendeley" : { "formattedCitation" : "\u00a0[1,2]", "manualFormatting" : "\u00a0[30]", "plainTextFormattedCitation" : "\u00a0[1,2]", "previouslyFormattedCitation" : "\u00a0[30,31]" }, "properties" : { "noteIndex" : 0 }, "schema" : "https://github.com/citation-style-language/schema/raw/master/csl-citation.json" }</w:instrText>
      </w:r>
      <w:r>
        <w:fldChar w:fldCharType="separate"/>
      </w:r>
      <w:r>
        <w:rPr>
          <w:noProof/>
        </w:rPr>
        <w:t> [30</w:t>
      </w:r>
      <w:r w:rsidRPr="00F41831">
        <w:rPr>
          <w:noProof/>
        </w:rPr>
        <w:t>]</w:t>
      </w:r>
      <w:r>
        <w:fldChar w:fldCharType="end"/>
      </w:r>
      <w:r>
        <w:t>.</w:t>
      </w:r>
    </w:p>
    <w:p w:rsidR="00257C38" w:rsidRPr="00317F30" w:rsidRDefault="00257C38" w:rsidP="00257C38">
      <w:r>
        <w:t>The following hazards have been identified as applicable to the tritium target:</w:t>
      </w:r>
    </w:p>
    <w:p w:rsidR="00257C38" w:rsidRDefault="00257C38" w:rsidP="00257C38">
      <w:pPr>
        <w:pStyle w:val="ListParagraph"/>
        <w:numPr>
          <w:ilvl w:val="0"/>
          <w:numId w:val="2"/>
        </w:numPr>
      </w:pPr>
      <w:r>
        <w:t>Pressure hazards</w:t>
      </w:r>
    </w:p>
    <w:p w:rsidR="00257C38" w:rsidRDefault="00257C38" w:rsidP="00257C38">
      <w:pPr>
        <w:pStyle w:val="ListParagraph"/>
        <w:numPr>
          <w:ilvl w:val="1"/>
          <w:numId w:val="2"/>
        </w:numPr>
      </w:pPr>
      <w:r>
        <w:t>Vacuum systems (scattering chamber)</w:t>
      </w:r>
    </w:p>
    <w:p w:rsidR="00257C38" w:rsidRDefault="00257C38" w:rsidP="00257C38">
      <w:pPr>
        <w:pStyle w:val="ListParagraph"/>
        <w:numPr>
          <w:ilvl w:val="1"/>
          <w:numId w:val="2"/>
        </w:numPr>
      </w:pPr>
      <w:r>
        <w:t>Cryogenic piping</w:t>
      </w:r>
    </w:p>
    <w:p w:rsidR="00257C38" w:rsidRDefault="00257C38" w:rsidP="00257C38">
      <w:pPr>
        <w:pStyle w:val="ListParagraph"/>
        <w:numPr>
          <w:ilvl w:val="1"/>
          <w:numId w:val="2"/>
        </w:numPr>
      </w:pPr>
      <w:r>
        <w:t xml:space="preserve">Tritium gas cell (200 </w:t>
      </w:r>
      <w:proofErr w:type="spellStart"/>
      <w:r>
        <w:t>psia</w:t>
      </w:r>
      <w:proofErr w:type="spellEnd"/>
      <w:r>
        <w:t>)</w:t>
      </w:r>
    </w:p>
    <w:p w:rsidR="00257C38" w:rsidRDefault="00257C38" w:rsidP="00257C38">
      <w:pPr>
        <w:pStyle w:val="ListParagraph"/>
        <w:numPr>
          <w:ilvl w:val="1"/>
          <w:numId w:val="2"/>
        </w:numPr>
      </w:pPr>
      <w:r>
        <w:t xml:space="preserve">Other gas cells (500 </w:t>
      </w:r>
      <w:proofErr w:type="spellStart"/>
      <w:r>
        <w:t>psia</w:t>
      </w:r>
      <w:proofErr w:type="spellEnd"/>
      <w:r>
        <w:t>)</w:t>
      </w:r>
    </w:p>
    <w:p w:rsidR="00257C38" w:rsidRDefault="00257C38" w:rsidP="00257C38">
      <w:pPr>
        <w:pStyle w:val="ListParagraph"/>
        <w:numPr>
          <w:ilvl w:val="0"/>
          <w:numId w:val="2"/>
        </w:numPr>
      </w:pPr>
      <w:r>
        <w:t>Cryogenic hazards</w:t>
      </w:r>
    </w:p>
    <w:p w:rsidR="00257C38" w:rsidRDefault="00257C38" w:rsidP="00257C38">
      <w:pPr>
        <w:pStyle w:val="ListParagraph"/>
        <w:numPr>
          <w:ilvl w:val="1"/>
          <w:numId w:val="2"/>
        </w:numPr>
      </w:pPr>
      <w:r>
        <w:t>Exposure to cold fluids</w:t>
      </w:r>
    </w:p>
    <w:p w:rsidR="00257C38" w:rsidRDefault="00257C38" w:rsidP="00257C38">
      <w:pPr>
        <w:pStyle w:val="ListParagraph"/>
        <w:numPr>
          <w:ilvl w:val="1"/>
          <w:numId w:val="2"/>
        </w:numPr>
      </w:pPr>
      <w:r>
        <w:t>ODH</w:t>
      </w:r>
    </w:p>
    <w:p w:rsidR="00257C38" w:rsidRDefault="00257C38" w:rsidP="00257C38">
      <w:pPr>
        <w:pStyle w:val="ListParagraph"/>
        <w:numPr>
          <w:ilvl w:val="0"/>
          <w:numId w:val="2"/>
        </w:numPr>
      </w:pPr>
      <w:r>
        <w:t>Radiological hazards</w:t>
      </w:r>
    </w:p>
    <w:p w:rsidR="00257C38" w:rsidRDefault="00257C38" w:rsidP="00257C38">
      <w:pPr>
        <w:pStyle w:val="ListParagraph"/>
        <w:numPr>
          <w:ilvl w:val="1"/>
          <w:numId w:val="2"/>
        </w:numPr>
      </w:pPr>
      <w:r>
        <w:t>Excessive dose</w:t>
      </w:r>
    </w:p>
    <w:p w:rsidR="00257C38" w:rsidRDefault="00257C38" w:rsidP="00257C38">
      <w:pPr>
        <w:pStyle w:val="ListParagraph"/>
        <w:numPr>
          <w:ilvl w:val="1"/>
          <w:numId w:val="2"/>
        </w:numPr>
      </w:pPr>
      <w:r>
        <w:t>Contamination</w:t>
      </w:r>
    </w:p>
    <w:p w:rsidR="00257C38" w:rsidRDefault="00257C38" w:rsidP="00257C38">
      <w:pPr>
        <w:pStyle w:val="ListParagraph"/>
        <w:numPr>
          <w:ilvl w:val="1"/>
          <w:numId w:val="2"/>
        </w:numPr>
      </w:pPr>
      <w:r>
        <w:t>Activation of materials</w:t>
      </w:r>
    </w:p>
    <w:p w:rsidR="00257C38" w:rsidRDefault="00257C38" w:rsidP="00257C38">
      <w:r>
        <w:t xml:space="preserve">The Hall </w:t>
      </w:r>
      <w:proofErr w:type="gramStart"/>
      <w:r>
        <w:t>A</w:t>
      </w:r>
      <w:proofErr w:type="gramEnd"/>
      <w:r>
        <w:t xml:space="preserve"> Cryogenic Target controls (with minor alterations) and scattering chamber are also being used as part of the system. Note that the overpressure protection for the scattering chamber shall remain installed as shall be vented to the tritium exhaust system (on the pump line). A hazard analysis for each of these systems has been performed and is documented in the Hall A Standard Equipment ESAD and Ref </w:t>
      </w:r>
      <w:r>
        <w:fldChar w:fldCharType="begin" w:fldLock="1"/>
      </w:r>
      <w:r>
        <w:instrText>ADDIN CSL_CITATION { "citationItems" : [ { "id" : "ITEM-1", "itemData" : { "author" : [ { "dropping-particle" : "", "family" : "Seely", "given" : "M.", "non-dropping-particle" : "", "parse-names" : false, "suffix" : "" }, { "dropping-particle" : "", "family" : "Meekins", "given" : "David", "non-dropping-particle" : "", "parse-names" : false, "suffix" : "" } ], "id" : "ITEM-1", "issue" : "figure 1", "issued" : { "date-parts" : [ [ "2004" ] ] }, "title" : "Hydrogen Target Safety Assessment Document", "type" : "report" }, "uris" : [ "http://www.mendeley.com/documents/?uuid=9e429c9f-f10d-4b05-b67c-345b80401630" ] } ], "mendeley" : { "formattedCitation" : "\u00a0[3]", "plainTextFormattedCitation" : "\u00a0[3]", "previouslyFormattedCitation" : "\u00a0[20]" }, "properties" : { "noteIndex" : 0 }, "schema" : "https://github.com/citation-style-language/schema/raw/master/csl-citation.json" }</w:instrText>
      </w:r>
      <w:r>
        <w:fldChar w:fldCharType="separate"/>
      </w:r>
      <w:r w:rsidRPr="00257C38">
        <w:rPr>
          <w:noProof/>
        </w:rPr>
        <w:t> [3]</w:t>
      </w:r>
      <w:r>
        <w:fldChar w:fldCharType="end"/>
      </w:r>
      <w:r>
        <w:t>. No further consideration for these systems is given here. An ODH assessment was performed for the cryogenic target and magnets in Hall A. No appreciable hazard was found below the crane level. The ESR supply system for the tritium target system is identical to that of the Hall A cryogenic target. Therefore, no further analysis is performed here.</w:t>
      </w:r>
    </w:p>
    <w:p w:rsidR="00257C38" w:rsidRDefault="00257C38" w:rsidP="00257C38">
      <w:r>
        <w:t>The following hazards are considered to have been addressed</w:t>
      </w:r>
    </w:p>
    <w:p w:rsidR="00257C38" w:rsidRDefault="00257C38" w:rsidP="00257C38">
      <w:pPr>
        <w:pStyle w:val="ListParagraph"/>
        <w:numPr>
          <w:ilvl w:val="0"/>
          <w:numId w:val="3"/>
        </w:numPr>
      </w:pPr>
      <w:r>
        <w:t>Cryogenic hazards (equivalent to Hall A cryogenic target)</w:t>
      </w:r>
    </w:p>
    <w:p w:rsidR="00257C38" w:rsidRDefault="00257C38" w:rsidP="00257C38">
      <w:pPr>
        <w:pStyle w:val="ListParagraph"/>
        <w:numPr>
          <w:ilvl w:val="1"/>
          <w:numId w:val="3"/>
        </w:numPr>
      </w:pPr>
      <w:r>
        <w:t>Exposure to cold fluids</w:t>
      </w:r>
    </w:p>
    <w:p w:rsidR="00257C38" w:rsidRDefault="00257C38" w:rsidP="00257C38">
      <w:pPr>
        <w:pStyle w:val="ListParagraph"/>
        <w:numPr>
          <w:ilvl w:val="1"/>
          <w:numId w:val="3"/>
        </w:numPr>
      </w:pPr>
      <w:r>
        <w:t>ODH</w:t>
      </w:r>
    </w:p>
    <w:p w:rsidR="00257C38" w:rsidRDefault="00257C38" w:rsidP="00257C38">
      <w:pPr>
        <w:pStyle w:val="ListParagraph"/>
        <w:numPr>
          <w:ilvl w:val="0"/>
          <w:numId w:val="3"/>
        </w:numPr>
      </w:pPr>
      <w:r>
        <w:t>Vacuum hazards (Equivalent to Hall A cryogenic target)</w:t>
      </w:r>
    </w:p>
    <w:p w:rsidR="00257C38" w:rsidRDefault="00257C38" w:rsidP="00257C38">
      <w:pPr>
        <w:pStyle w:val="ListParagraph"/>
        <w:numPr>
          <w:ilvl w:val="0"/>
          <w:numId w:val="3"/>
        </w:numPr>
      </w:pPr>
      <w:r>
        <w:t>Electrical hazards (equivalent (or lower) than Hall A target</w:t>
      </w:r>
    </w:p>
    <w:p w:rsidR="00257C38" w:rsidRDefault="00257C38" w:rsidP="00257C38">
      <w:pPr>
        <w:pStyle w:val="ListParagraph"/>
        <w:numPr>
          <w:ilvl w:val="0"/>
          <w:numId w:val="3"/>
        </w:numPr>
      </w:pPr>
      <w:r>
        <w:t>Material handling hazards (equivalent to Hall A target</w:t>
      </w:r>
    </w:p>
    <w:p w:rsidR="00257C38" w:rsidRDefault="00257C38" w:rsidP="00257C38">
      <w:pPr>
        <w:pStyle w:val="ListParagraph"/>
        <w:numPr>
          <w:ilvl w:val="0"/>
          <w:numId w:val="3"/>
        </w:numPr>
      </w:pPr>
      <w:r>
        <w:t>Chemical hazards equivalent to Hall A target</w:t>
      </w:r>
    </w:p>
    <w:p w:rsidR="00257C38" w:rsidRDefault="00257C38" w:rsidP="00257C38">
      <w:pPr>
        <w:pStyle w:val="ListParagraph"/>
        <w:numPr>
          <w:ilvl w:val="0"/>
          <w:numId w:val="3"/>
        </w:numPr>
      </w:pPr>
      <w:r>
        <w:t>Activation of materials equivalent to Hall A target</w:t>
      </w:r>
    </w:p>
    <w:p w:rsidR="00257C38" w:rsidRDefault="00257C38" w:rsidP="00257C38">
      <w:pPr>
        <w:rPr>
          <w:rFonts w:ascii="Arial" w:hAnsi="Arial" w:cs="Arial"/>
          <w:color w:val="252525"/>
          <w:sz w:val="21"/>
          <w:szCs w:val="21"/>
          <w:shd w:val="clear" w:color="auto" w:fill="FFFFFF"/>
        </w:rPr>
      </w:pPr>
      <w:r>
        <w:lastRenderedPageBreak/>
        <w:t xml:space="preserve">JLAB ESH Manual Chapter 3210 Appendix T3 describes the method required for hazard analysis. This method may be clearly applied to individual tasks but is difficult to apply to a system. The standard </w:t>
      </w:r>
      <w:r>
        <w:rPr>
          <w:rFonts w:ascii="Arial" w:hAnsi="Arial" w:cs="Arial"/>
          <w:color w:val="252525"/>
          <w:sz w:val="21"/>
          <w:szCs w:val="21"/>
          <w:shd w:val="clear" w:color="auto" w:fill="FFFFFF"/>
        </w:rPr>
        <w:t xml:space="preserve">ANSI/GEIA-STD-0010 </w:t>
      </w:r>
      <w:r>
        <w:rPr>
          <w:rFonts w:ascii="Arial" w:hAnsi="Arial" w:cs="Arial"/>
          <w:color w:val="252525"/>
          <w:sz w:val="21"/>
          <w:szCs w:val="21"/>
          <w:shd w:val="clear" w:color="auto" w:fill="FFFFFF"/>
        </w:rPr>
        <w:fldChar w:fldCharType="begin" w:fldLock="1"/>
      </w:r>
      <w:r>
        <w:rPr>
          <w:rFonts w:ascii="Arial" w:hAnsi="Arial" w:cs="Arial"/>
          <w:color w:val="252525"/>
          <w:sz w:val="21"/>
          <w:szCs w:val="21"/>
          <w:shd w:val="clear" w:color="auto" w:fill="FFFFFF"/>
        </w:rPr>
        <w:instrText>ADDIN CSL_CITATION { "citationItems" : [ { "id" : "ITEM-1", "itemData" : { "author" : [ { "dropping-particle" : "", "family" : "ANSI", "given" : "", "non-dropping-particle" : "", "parse-names" : false, "suffix" : "" } ], "id" : "ITEM-1", "issued" : { "date-parts" : [ [ "2010" ] ] }, "title" : "ANSI/GEIA-STD-0010", "type" : "report" }, "uris" : [ "http://www.mendeley.com/documents/?uuid=81536cbf-bc6d-4ed2-9f90-f0224f8b1fdf" ] } ], "mendeley" : { "formattedCitation" : "\u00a0[4]", "plainTextFormattedCitation" : "\u00a0[4]", "previouslyFormattedCitation" : "\u00a0[32]" }, "properties" : { "noteIndex" : 0 }, "schema" : "https://github.com/citation-style-language/schema/raw/master/csl-citation.json" }</w:instrText>
      </w:r>
      <w:r>
        <w:rPr>
          <w:rFonts w:ascii="Arial" w:hAnsi="Arial" w:cs="Arial"/>
          <w:color w:val="252525"/>
          <w:sz w:val="21"/>
          <w:szCs w:val="21"/>
          <w:shd w:val="clear" w:color="auto" w:fill="FFFFFF"/>
        </w:rPr>
        <w:fldChar w:fldCharType="separate"/>
      </w:r>
      <w:r w:rsidRPr="00257C38">
        <w:rPr>
          <w:rFonts w:ascii="Arial" w:hAnsi="Arial" w:cs="Arial"/>
          <w:noProof/>
          <w:color w:val="252525"/>
          <w:sz w:val="21"/>
          <w:szCs w:val="21"/>
          <w:shd w:val="clear" w:color="auto" w:fill="FFFFFF"/>
        </w:rPr>
        <w:t> [4]</w:t>
      </w:r>
      <w:r>
        <w:rPr>
          <w:rFonts w:ascii="Arial" w:hAnsi="Arial" w:cs="Arial"/>
          <w:color w:val="252525"/>
          <w:sz w:val="21"/>
          <w:szCs w:val="21"/>
          <w:shd w:val="clear" w:color="auto" w:fill="FFFFFF"/>
        </w:rPr>
        <w:fldChar w:fldCharType="end"/>
      </w:r>
      <w:r>
        <w:rPr>
          <w:rFonts w:ascii="Arial" w:hAnsi="Arial" w:cs="Arial"/>
          <w:color w:val="252525"/>
          <w:sz w:val="21"/>
          <w:szCs w:val="21"/>
          <w:shd w:val="clear" w:color="auto" w:fill="FFFFFF"/>
        </w:rPr>
        <w:t xml:space="preserve"> shall be used to determine the probability of a given incident.</w:t>
      </w:r>
    </w:p>
    <w:tbl>
      <w:tblPr>
        <w:tblStyle w:val="PlainTable1"/>
        <w:tblpPr w:leftFromText="180" w:rightFromText="180" w:vertAnchor="text" w:horzAnchor="margin" w:tblpXSpec="center" w:tblpY="96"/>
        <w:tblW w:w="0" w:type="auto"/>
        <w:tblLook w:val="04A0" w:firstRow="1" w:lastRow="0" w:firstColumn="1" w:lastColumn="0" w:noHBand="0" w:noVBand="1"/>
      </w:tblPr>
      <w:tblGrid>
        <w:gridCol w:w="1793"/>
        <w:gridCol w:w="940"/>
        <w:gridCol w:w="1942"/>
        <w:gridCol w:w="4675"/>
      </w:tblGrid>
      <w:tr w:rsidR="00257C38" w:rsidRPr="00E16D46" w:rsidTr="00927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7C38" w:rsidRPr="00E16D46" w:rsidRDefault="00257C38" w:rsidP="009271D9">
            <w:pPr>
              <w:jc w:val="center"/>
            </w:pPr>
            <w:r w:rsidRPr="00E16D46">
              <w:t>Likelihood</w:t>
            </w:r>
          </w:p>
        </w:tc>
        <w:tc>
          <w:tcPr>
            <w:tcW w:w="0" w:type="auto"/>
          </w:tcPr>
          <w:p w:rsidR="00257C38" w:rsidRPr="00E16D46" w:rsidRDefault="00257C38" w:rsidP="009271D9">
            <w:pPr>
              <w:cnfStyle w:val="100000000000" w:firstRow="1" w:lastRow="0" w:firstColumn="0" w:lastColumn="0" w:oddVBand="0" w:evenVBand="0" w:oddHBand="0" w:evenHBand="0" w:firstRowFirstColumn="0" w:firstRowLastColumn="0" w:lastRowFirstColumn="0" w:lastRowLastColumn="0"/>
            </w:pPr>
            <w:r>
              <w:t>JLAB Level</w:t>
            </w:r>
          </w:p>
        </w:tc>
        <w:tc>
          <w:tcPr>
            <w:tcW w:w="1942" w:type="dxa"/>
          </w:tcPr>
          <w:p w:rsidR="00257C38" w:rsidRPr="00E16D46" w:rsidRDefault="00257C38" w:rsidP="009271D9">
            <w:pPr>
              <w:cnfStyle w:val="100000000000" w:firstRow="1" w:lastRow="0" w:firstColumn="0" w:lastColumn="0" w:oddVBand="0" w:evenVBand="0" w:oddHBand="0" w:evenHBand="0" w:firstRowFirstColumn="0" w:firstRowLastColumn="0" w:lastRowFirstColumn="0" w:lastRowLastColumn="0"/>
            </w:pPr>
            <w:r>
              <w:t>Number assigned in FMEA</w:t>
            </w:r>
          </w:p>
        </w:tc>
        <w:tc>
          <w:tcPr>
            <w:tcW w:w="4675" w:type="dxa"/>
            <w:hideMark/>
          </w:tcPr>
          <w:p w:rsidR="00257C38" w:rsidRPr="00E16D46" w:rsidRDefault="00257C38" w:rsidP="009271D9">
            <w:pPr>
              <w:cnfStyle w:val="100000000000" w:firstRow="1" w:lastRow="0" w:firstColumn="0" w:lastColumn="0" w:oddVBand="0" w:evenVBand="0" w:oddHBand="0" w:evenHBand="0" w:firstRowFirstColumn="0" w:firstRowLastColumn="0" w:lastRowFirstColumn="0" w:lastRowLastColumn="0"/>
            </w:pPr>
            <w:r w:rsidRPr="00E16D46">
              <w:t>Definition</w:t>
            </w:r>
          </w:p>
        </w:tc>
      </w:tr>
      <w:tr w:rsidR="00257C38" w:rsidRPr="00E16D46" w:rsidTr="00927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7C38" w:rsidRPr="00E16D46" w:rsidRDefault="00257C38" w:rsidP="009271D9">
            <w:r w:rsidRPr="00E16D46">
              <w:t>Probable</w:t>
            </w:r>
          </w:p>
        </w:tc>
        <w:tc>
          <w:tcPr>
            <w:tcW w:w="0" w:type="auto"/>
          </w:tcPr>
          <w:p w:rsidR="00257C38" w:rsidRPr="00E16D46" w:rsidRDefault="00257C38" w:rsidP="009271D9">
            <w:pPr>
              <w:cnfStyle w:val="000000100000" w:firstRow="0" w:lastRow="0" w:firstColumn="0" w:lastColumn="0" w:oddVBand="0" w:evenVBand="0" w:oddHBand="1" w:evenHBand="0" w:firstRowFirstColumn="0" w:firstRowLastColumn="0" w:lastRowFirstColumn="0" w:lastRowLastColumn="0"/>
            </w:pPr>
            <w:r>
              <w:t>H</w:t>
            </w:r>
          </w:p>
        </w:tc>
        <w:tc>
          <w:tcPr>
            <w:tcW w:w="1942" w:type="dxa"/>
          </w:tcPr>
          <w:p w:rsidR="00257C38" w:rsidRPr="00E16D46" w:rsidRDefault="00257C38" w:rsidP="009271D9">
            <w:pPr>
              <w:cnfStyle w:val="000000100000" w:firstRow="0" w:lastRow="0" w:firstColumn="0" w:lastColumn="0" w:oddVBand="0" w:evenVBand="0" w:oddHBand="1" w:evenHBand="0" w:firstRowFirstColumn="0" w:firstRowLastColumn="0" w:lastRowFirstColumn="0" w:lastRowLastColumn="0"/>
            </w:pPr>
            <w:r>
              <w:t>4</w:t>
            </w:r>
          </w:p>
        </w:tc>
        <w:tc>
          <w:tcPr>
            <w:tcW w:w="4675" w:type="dxa"/>
            <w:hideMark/>
          </w:tcPr>
          <w:p w:rsidR="00257C38" w:rsidRPr="00E16D46" w:rsidRDefault="00257C38" w:rsidP="009271D9">
            <w:pPr>
              <w:cnfStyle w:val="000000100000" w:firstRow="0" w:lastRow="0" w:firstColumn="0" w:lastColumn="0" w:oddVBand="0" w:evenVBand="0" w:oddHBand="1" w:evenHBand="0" w:firstRowFirstColumn="0" w:firstRowLastColumn="0" w:lastRowFirstColumn="0" w:lastRowLastColumn="0"/>
            </w:pPr>
            <w:r w:rsidRPr="00E16D46">
              <w:t>Probability of occurrence per operational hour is greater than </w:t>
            </w:r>
            <w:r>
              <w:rPr>
                <w:noProof/>
              </w:rPr>
              <w:t>1E-5</w:t>
            </w:r>
          </w:p>
        </w:tc>
      </w:tr>
      <w:tr w:rsidR="00257C38" w:rsidRPr="00E16D46" w:rsidTr="009271D9">
        <w:tc>
          <w:tcPr>
            <w:cnfStyle w:val="001000000000" w:firstRow="0" w:lastRow="0" w:firstColumn="1" w:lastColumn="0" w:oddVBand="0" w:evenVBand="0" w:oddHBand="0" w:evenHBand="0" w:firstRowFirstColumn="0" w:firstRowLastColumn="0" w:lastRowFirstColumn="0" w:lastRowLastColumn="0"/>
            <w:tcW w:w="0" w:type="auto"/>
            <w:hideMark/>
          </w:tcPr>
          <w:p w:rsidR="00257C38" w:rsidRPr="00E16D46" w:rsidRDefault="00257C38" w:rsidP="009271D9">
            <w:r w:rsidRPr="00E16D46">
              <w:t>Remote</w:t>
            </w:r>
          </w:p>
        </w:tc>
        <w:tc>
          <w:tcPr>
            <w:tcW w:w="0" w:type="auto"/>
          </w:tcPr>
          <w:p w:rsidR="00257C38" w:rsidRPr="00E16D46" w:rsidRDefault="00257C38" w:rsidP="009271D9">
            <w:pPr>
              <w:cnfStyle w:val="000000000000" w:firstRow="0" w:lastRow="0" w:firstColumn="0" w:lastColumn="0" w:oddVBand="0" w:evenVBand="0" w:oddHBand="0" w:evenHBand="0" w:firstRowFirstColumn="0" w:firstRowLastColumn="0" w:lastRowFirstColumn="0" w:lastRowLastColumn="0"/>
            </w:pPr>
            <w:r>
              <w:t>M</w:t>
            </w:r>
          </w:p>
        </w:tc>
        <w:tc>
          <w:tcPr>
            <w:tcW w:w="1942" w:type="dxa"/>
          </w:tcPr>
          <w:p w:rsidR="00257C38" w:rsidRPr="00E16D46" w:rsidRDefault="00257C38" w:rsidP="009271D9">
            <w:pPr>
              <w:cnfStyle w:val="000000000000" w:firstRow="0" w:lastRow="0" w:firstColumn="0" w:lastColumn="0" w:oddVBand="0" w:evenVBand="0" w:oddHBand="0" w:evenHBand="0" w:firstRowFirstColumn="0" w:firstRowLastColumn="0" w:lastRowFirstColumn="0" w:lastRowLastColumn="0"/>
            </w:pPr>
            <w:r>
              <w:t>3</w:t>
            </w:r>
          </w:p>
        </w:tc>
        <w:tc>
          <w:tcPr>
            <w:tcW w:w="4675" w:type="dxa"/>
            <w:hideMark/>
          </w:tcPr>
          <w:p w:rsidR="00257C38" w:rsidRPr="00E16D46" w:rsidRDefault="00257C38" w:rsidP="009271D9">
            <w:pPr>
              <w:cnfStyle w:val="000000000000" w:firstRow="0" w:lastRow="0" w:firstColumn="0" w:lastColumn="0" w:oddVBand="0" w:evenVBand="0" w:oddHBand="0" w:evenHBand="0" w:firstRowFirstColumn="0" w:firstRowLastColumn="0" w:lastRowFirstColumn="0" w:lastRowLastColumn="0"/>
            </w:pPr>
            <w:r w:rsidRPr="00E16D46">
              <w:t>Probability of occurrence per operational hour is less than </w:t>
            </w:r>
            <w:r>
              <w:rPr>
                <w:noProof/>
              </w:rPr>
              <w:t>1E-5</w:t>
            </w:r>
            <w:r w:rsidRPr="00E16D46">
              <w:t>, but greater than </w:t>
            </w:r>
            <w:r>
              <w:rPr>
                <w:noProof/>
              </w:rPr>
              <w:t>1E-7</w:t>
            </w:r>
          </w:p>
        </w:tc>
      </w:tr>
      <w:tr w:rsidR="00257C38" w:rsidRPr="00E16D46" w:rsidTr="00927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57C38" w:rsidRPr="00E16D46" w:rsidRDefault="00257C38" w:rsidP="009271D9">
            <w:r w:rsidRPr="00E16D46">
              <w:t>Extremely Remote</w:t>
            </w:r>
          </w:p>
        </w:tc>
        <w:tc>
          <w:tcPr>
            <w:tcW w:w="0" w:type="auto"/>
          </w:tcPr>
          <w:p w:rsidR="00257C38" w:rsidRPr="00E16D46" w:rsidRDefault="00257C38" w:rsidP="009271D9">
            <w:pPr>
              <w:cnfStyle w:val="000000100000" w:firstRow="0" w:lastRow="0" w:firstColumn="0" w:lastColumn="0" w:oddVBand="0" w:evenVBand="0" w:oddHBand="1" w:evenHBand="0" w:firstRowFirstColumn="0" w:firstRowLastColumn="0" w:lastRowFirstColumn="0" w:lastRowLastColumn="0"/>
            </w:pPr>
            <w:r>
              <w:t>L</w:t>
            </w:r>
          </w:p>
        </w:tc>
        <w:tc>
          <w:tcPr>
            <w:tcW w:w="1942" w:type="dxa"/>
          </w:tcPr>
          <w:p w:rsidR="00257C38" w:rsidRPr="00E16D46" w:rsidRDefault="00257C38" w:rsidP="009271D9">
            <w:pPr>
              <w:cnfStyle w:val="000000100000" w:firstRow="0" w:lastRow="0" w:firstColumn="0" w:lastColumn="0" w:oddVBand="0" w:evenVBand="0" w:oddHBand="1" w:evenHBand="0" w:firstRowFirstColumn="0" w:firstRowLastColumn="0" w:lastRowFirstColumn="0" w:lastRowLastColumn="0"/>
            </w:pPr>
            <w:r>
              <w:t>2</w:t>
            </w:r>
          </w:p>
        </w:tc>
        <w:tc>
          <w:tcPr>
            <w:tcW w:w="4675" w:type="dxa"/>
            <w:hideMark/>
          </w:tcPr>
          <w:p w:rsidR="00257C38" w:rsidRPr="00E16D46" w:rsidRDefault="00257C38" w:rsidP="009271D9">
            <w:pPr>
              <w:cnfStyle w:val="000000100000" w:firstRow="0" w:lastRow="0" w:firstColumn="0" w:lastColumn="0" w:oddVBand="0" w:evenVBand="0" w:oddHBand="1" w:evenHBand="0" w:firstRowFirstColumn="0" w:firstRowLastColumn="0" w:lastRowFirstColumn="0" w:lastRowLastColumn="0"/>
            </w:pPr>
            <w:r w:rsidRPr="00E16D46">
              <w:t>Probability of occurrence per operational hour is less than </w:t>
            </w:r>
            <w:r>
              <w:rPr>
                <w:noProof/>
              </w:rPr>
              <w:t xml:space="preserve">1E-7 </w:t>
            </w:r>
            <w:r w:rsidRPr="00E16D46">
              <w:t>but greater than </w:t>
            </w:r>
            <w:r>
              <w:rPr>
                <w:noProof/>
              </w:rPr>
              <w:t>1E-9</w:t>
            </w:r>
          </w:p>
        </w:tc>
      </w:tr>
      <w:tr w:rsidR="00257C38" w:rsidRPr="00E16D46" w:rsidTr="009271D9">
        <w:tc>
          <w:tcPr>
            <w:cnfStyle w:val="001000000000" w:firstRow="0" w:lastRow="0" w:firstColumn="1" w:lastColumn="0" w:oddVBand="0" w:evenVBand="0" w:oddHBand="0" w:evenHBand="0" w:firstRowFirstColumn="0" w:firstRowLastColumn="0" w:lastRowFirstColumn="0" w:lastRowLastColumn="0"/>
            <w:tcW w:w="0" w:type="auto"/>
            <w:hideMark/>
          </w:tcPr>
          <w:p w:rsidR="00257C38" w:rsidRPr="00E16D46" w:rsidRDefault="00257C38" w:rsidP="009271D9">
            <w:r w:rsidRPr="00E16D46">
              <w:t>Extremely Improbable</w:t>
            </w:r>
          </w:p>
        </w:tc>
        <w:tc>
          <w:tcPr>
            <w:tcW w:w="0" w:type="auto"/>
          </w:tcPr>
          <w:p w:rsidR="00257C38" w:rsidRPr="00E16D46" w:rsidRDefault="00257C38" w:rsidP="009271D9">
            <w:pPr>
              <w:cnfStyle w:val="000000000000" w:firstRow="0" w:lastRow="0" w:firstColumn="0" w:lastColumn="0" w:oddVBand="0" w:evenVBand="0" w:oddHBand="0" w:evenHBand="0" w:firstRowFirstColumn="0" w:firstRowLastColumn="0" w:lastRowFirstColumn="0" w:lastRowLastColumn="0"/>
            </w:pPr>
            <w:r>
              <w:t>EL</w:t>
            </w:r>
          </w:p>
        </w:tc>
        <w:tc>
          <w:tcPr>
            <w:tcW w:w="1942" w:type="dxa"/>
          </w:tcPr>
          <w:p w:rsidR="00257C38" w:rsidRPr="00E16D46" w:rsidRDefault="00257C38" w:rsidP="009271D9">
            <w:pPr>
              <w:cnfStyle w:val="000000000000" w:firstRow="0" w:lastRow="0" w:firstColumn="0" w:lastColumn="0" w:oddVBand="0" w:evenVBand="0" w:oddHBand="0" w:evenHBand="0" w:firstRowFirstColumn="0" w:firstRowLastColumn="0" w:lastRowFirstColumn="0" w:lastRowLastColumn="0"/>
            </w:pPr>
            <w:r>
              <w:t>1</w:t>
            </w:r>
          </w:p>
        </w:tc>
        <w:tc>
          <w:tcPr>
            <w:tcW w:w="4675" w:type="dxa"/>
            <w:hideMark/>
          </w:tcPr>
          <w:p w:rsidR="00257C38" w:rsidRPr="00E16D46" w:rsidRDefault="00257C38" w:rsidP="009271D9">
            <w:pPr>
              <w:cnfStyle w:val="000000000000" w:firstRow="0" w:lastRow="0" w:firstColumn="0" w:lastColumn="0" w:oddVBand="0" w:evenVBand="0" w:oddHBand="0" w:evenHBand="0" w:firstRowFirstColumn="0" w:firstRowLastColumn="0" w:lastRowFirstColumn="0" w:lastRowLastColumn="0"/>
            </w:pPr>
            <w:r w:rsidRPr="00E16D46">
              <w:t>Probability of occurrence per operational hour is less than </w:t>
            </w:r>
            <w:r>
              <w:rPr>
                <w:noProof/>
              </w:rPr>
              <w:t>1E-9</w:t>
            </w:r>
          </w:p>
        </w:tc>
      </w:tr>
    </w:tbl>
    <w:p w:rsidR="00257C38" w:rsidRDefault="00257C38" w:rsidP="00257C38">
      <w:pPr>
        <w:pStyle w:val="Caption"/>
        <w:rPr>
          <w:rFonts w:ascii="Arial" w:hAnsi="Arial" w:cs="Arial"/>
          <w:color w:val="252525"/>
          <w:sz w:val="21"/>
          <w:szCs w:val="21"/>
          <w:shd w:val="clear" w:color="auto" w:fill="FFFFFF"/>
        </w:rPr>
      </w:pPr>
      <w:r>
        <w:t xml:space="preserve">Table </w:t>
      </w:r>
      <w:r>
        <w:fldChar w:fldCharType="begin"/>
      </w:r>
      <w:r>
        <w:instrText xml:space="preserve"> SEQ Table \* ARABIC </w:instrText>
      </w:r>
      <w:r>
        <w:fldChar w:fldCharType="separate"/>
      </w:r>
      <w:r>
        <w:rPr>
          <w:noProof/>
        </w:rPr>
        <w:t>6</w:t>
      </w:r>
      <w:r>
        <w:rPr>
          <w:noProof/>
        </w:rPr>
        <w:fldChar w:fldCharType="end"/>
      </w:r>
      <w:r>
        <w:t xml:space="preserve">:  </w:t>
      </w:r>
      <w:r>
        <w:rPr>
          <w:rFonts w:ascii="Arial" w:hAnsi="Arial" w:cs="Arial"/>
          <w:color w:val="252525"/>
          <w:sz w:val="21"/>
          <w:szCs w:val="21"/>
          <w:shd w:val="clear" w:color="auto" w:fill="FFFFFF"/>
        </w:rPr>
        <w:t xml:space="preserve">ANSI/GEIA-STD-0010 Standard likelihood of occurrence </w:t>
      </w:r>
      <w:r>
        <w:rPr>
          <w:rFonts w:ascii="Arial" w:hAnsi="Arial" w:cs="Arial"/>
          <w:color w:val="252525"/>
          <w:sz w:val="21"/>
          <w:szCs w:val="21"/>
          <w:shd w:val="clear" w:color="auto" w:fill="FFFFFF"/>
        </w:rPr>
        <w:fldChar w:fldCharType="begin" w:fldLock="1"/>
      </w:r>
      <w:r>
        <w:rPr>
          <w:rFonts w:ascii="Arial" w:hAnsi="Arial" w:cs="Arial"/>
          <w:color w:val="252525"/>
          <w:sz w:val="21"/>
          <w:szCs w:val="21"/>
          <w:shd w:val="clear" w:color="auto" w:fill="FFFFFF"/>
        </w:rPr>
        <w:instrText>ADDIN CSL_CITATION { "citationItems" : [ { "id" : "ITEM-1", "itemData" : { "author" : [ { "dropping-particle" : "", "family" : "ANSI", "given" : "", "non-dropping-particle" : "", "parse-names" : false, "suffix" : "" } ], "id" : "ITEM-1", "issued" : { "date-parts" : [ [ "2010" ] ] }, "title" : "ANSI/GEIA-STD-0010", "type" : "report" }, "uris" : [ "http://www.mendeley.com/documents/?uuid=81536cbf-bc6d-4ed2-9f90-f0224f8b1fdf" ] } ], "mendeley" : { "formattedCitation" : "\u00a0[4]", "plainTextFormattedCitation" : "\u00a0[4]", "previouslyFormattedCitation" : "\u00a0[32]" }, "properties" : { "noteIndex" : 0 }, "schema" : "https://github.com/citation-style-language/schema/raw/master/csl-citation.json" }</w:instrText>
      </w:r>
      <w:r>
        <w:rPr>
          <w:rFonts w:ascii="Arial" w:hAnsi="Arial" w:cs="Arial"/>
          <w:color w:val="252525"/>
          <w:sz w:val="21"/>
          <w:szCs w:val="21"/>
          <w:shd w:val="clear" w:color="auto" w:fill="FFFFFF"/>
        </w:rPr>
        <w:fldChar w:fldCharType="separate"/>
      </w:r>
      <w:r w:rsidRPr="00257C38">
        <w:rPr>
          <w:rFonts w:ascii="Arial" w:hAnsi="Arial" w:cs="Arial"/>
          <w:noProof/>
          <w:color w:val="252525"/>
          <w:sz w:val="21"/>
          <w:szCs w:val="21"/>
          <w:shd w:val="clear" w:color="auto" w:fill="FFFFFF"/>
        </w:rPr>
        <w:t> [4]</w:t>
      </w:r>
      <w:r>
        <w:rPr>
          <w:rFonts w:ascii="Arial" w:hAnsi="Arial" w:cs="Arial"/>
          <w:color w:val="252525"/>
          <w:sz w:val="21"/>
          <w:szCs w:val="21"/>
          <w:shd w:val="clear" w:color="auto" w:fill="FFFFFF"/>
        </w:rPr>
        <w:fldChar w:fldCharType="end"/>
      </w:r>
      <w:r>
        <w:rPr>
          <w:rFonts w:ascii="Arial" w:hAnsi="Arial" w:cs="Arial"/>
          <w:color w:val="252525"/>
          <w:sz w:val="21"/>
          <w:szCs w:val="21"/>
          <w:shd w:val="clear" w:color="auto" w:fill="FFFFFF"/>
        </w:rPr>
        <w:t>.</w:t>
      </w:r>
    </w:p>
    <w:p w:rsidR="00257C38" w:rsidRDefault="00257C38" w:rsidP="00257C38">
      <w:pPr>
        <w:pStyle w:val="Heading2"/>
      </w:pPr>
      <w:bookmarkStart w:id="1" w:name="_Toc429448502"/>
      <w:r>
        <w:t>Pressure hazards</w:t>
      </w:r>
      <w:bookmarkEnd w:id="1"/>
    </w:p>
    <w:p w:rsidR="00257C38" w:rsidRDefault="00257C38" w:rsidP="00257C38">
      <w:r>
        <w:t xml:space="preserve">The pressure hazards applicable to the tritium target are given below in </w:t>
      </w:r>
      <w:r>
        <w:fldChar w:fldCharType="begin"/>
      </w:r>
      <w:r>
        <w:instrText xml:space="preserve"> REF _Ref429446114 \h </w:instrText>
      </w:r>
      <w:r>
        <w:fldChar w:fldCharType="separate"/>
      </w:r>
      <w:r>
        <w:t xml:space="preserve">Table </w:t>
      </w:r>
      <w:r>
        <w:rPr>
          <w:noProof/>
        </w:rPr>
        <w:t>7</w:t>
      </w:r>
      <w:r>
        <w:fldChar w:fldCharType="end"/>
      </w:r>
      <w:r>
        <w:t>.</w:t>
      </w:r>
    </w:p>
    <w:tbl>
      <w:tblPr>
        <w:tblStyle w:val="GridTable1Light1"/>
        <w:tblW w:w="0" w:type="auto"/>
        <w:tblLook w:val="04A0" w:firstRow="1" w:lastRow="0" w:firstColumn="1" w:lastColumn="0" w:noHBand="0" w:noVBand="1"/>
      </w:tblPr>
      <w:tblGrid>
        <w:gridCol w:w="2866"/>
        <w:gridCol w:w="1359"/>
        <w:gridCol w:w="3960"/>
        <w:gridCol w:w="1165"/>
      </w:tblGrid>
      <w:tr w:rsidR="00257C38" w:rsidTr="00927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6" w:type="dxa"/>
          </w:tcPr>
          <w:p w:rsidR="00257C38" w:rsidRDefault="00257C38" w:rsidP="009271D9">
            <w:r>
              <w:t>Hazard</w:t>
            </w:r>
          </w:p>
        </w:tc>
        <w:tc>
          <w:tcPr>
            <w:tcW w:w="1359" w:type="dxa"/>
          </w:tcPr>
          <w:p w:rsidR="00257C38" w:rsidRDefault="00257C38" w:rsidP="009271D9">
            <w:pPr>
              <w:cnfStyle w:val="100000000000" w:firstRow="1" w:lastRow="0" w:firstColumn="0" w:lastColumn="0" w:oddVBand="0" w:evenVBand="0" w:oddHBand="0" w:evenHBand="0" w:firstRowFirstColumn="0" w:firstRowLastColumn="0" w:lastRowFirstColumn="0" w:lastRowLastColumn="0"/>
            </w:pPr>
            <w:r>
              <w:t>Unmitigated Risk Code</w:t>
            </w:r>
          </w:p>
        </w:tc>
        <w:tc>
          <w:tcPr>
            <w:tcW w:w="3960" w:type="dxa"/>
          </w:tcPr>
          <w:p w:rsidR="00257C38" w:rsidRDefault="00257C38" w:rsidP="009271D9">
            <w:pPr>
              <w:cnfStyle w:val="100000000000" w:firstRow="1" w:lastRow="0" w:firstColumn="0" w:lastColumn="0" w:oddVBand="0" w:evenVBand="0" w:oddHBand="0" w:evenHBand="0" w:firstRowFirstColumn="0" w:firstRowLastColumn="0" w:lastRowFirstColumn="0" w:lastRowLastColumn="0"/>
            </w:pPr>
            <w:r>
              <w:t>Mitigation</w:t>
            </w:r>
          </w:p>
        </w:tc>
        <w:tc>
          <w:tcPr>
            <w:tcW w:w="1165" w:type="dxa"/>
          </w:tcPr>
          <w:p w:rsidR="00257C38" w:rsidRDefault="00257C38" w:rsidP="009271D9">
            <w:pPr>
              <w:cnfStyle w:val="100000000000" w:firstRow="1" w:lastRow="0" w:firstColumn="0" w:lastColumn="0" w:oddVBand="0" w:evenVBand="0" w:oddHBand="0" w:evenHBand="0" w:firstRowFirstColumn="0" w:firstRowLastColumn="0" w:lastRowFirstColumn="0" w:lastRowLastColumn="0"/>
            </w:pPr>
            <w:r>
              <w:t>Mitigated Risk Code</w:t>
            </w:r>
          </w:p>
        </w:tc>
      </w:tr>
      <w:tr w:rsidR="00257C38" w:rsidTr="009271D9">
        <w:tc>
          <w:tcPr>
            <w:cnfStyle w:val="001000000000" w:firstRow="0" w:lastRow="0" w:firstColumn="1" w:lastColumn="0" w:oddVBand="0" w:evenVBand="0" w:oddHBand="0" w:evenHBand="0" w:firstRowFirstColumn="0" w:firstRowLastColumn="0" w:lastRowFirstColumn="0" w:lastRowLastColumn="0"/>
            <w:tcW w:w="2866" w:type="dxa"/>
          </w:tcPr>
          <w:p w:rsidR="00257C38" w:rsidRPr="00D005E8" w:rsidRDefault="00257C38" w:rsidP="009271D9">
            <w:pPr>
              <w:rPr>
                <w:b w:val="0"/>
              </w:rPr>
            </w:pPr>
            <w:r w:rsidRPr="00D005E8">
              <w:rPr>
                <w:b w:val="0"/>
              </w:rPr>
              <w:t>Cell failure</w:t>
            </w:r>
          </w:p>
          <w:p w:rsidR="00257C38" w:rsidRPr="00D005E8" w:rsidRDefault="00257C38" w:rsidP="009271D9">
            <w:pPr>
              <w:rPr>
                <w:b w:val="0"/>
              </w:rPr>
            </w:pPr>
            <w:r w:rsidRPr="00D005E8">
              <w:rPr>
                <w:b w:val="0"/>
              </w:rPr>
              <w:t>Flying debris</w:t>
            </w:r>
          </w:p>
          <w:p w:rsidR="00257C38" w:rsidRPr="00D005E8" w:rsidRDefault="00257C38" w:rsidP="009271D9">
            <w:pPr>
              <w:rPr>
                <w:b w:val="0"/>
              </w:rPr>
            </w:pPr>
            <w:r w:rsidRPr="00D005E8">
              <w:rPr>
                <w:b w:val="0"/>
              </w:rPr>
              <w:t>Loud Noise/pressure wave</w:t>
            </w:r>
          </w:p>
        </w:tc>
        <w:tc>
          <w:tcPr>
            <w:tcW w:w="1359"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2</w:t>
            </w:r>
          </w:p>
        </w:tc>
        <w:tc>
          <w:tcPr>
            <w:tcW w:w="3960"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-Designed to Code (675 psi design pressure)</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-Procedures/training</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-PPE</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-Shipping covers on until final step of installation</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-Low stored energy in pressure from small volume.</w:t>
            </w:r>
          </w:p>
        </w:tc>
        <w:tc>
          <w:tcPr>
            <w:tcW w:w="1165"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1</w:t>
            </w:r>
          </w:p>
        </w:tc>
      </w:tr>
      <w:tr w:rsidR="00257C38" w:rsidTr="009271D9">
        <w:tc>
          <w:tcPr>
            <w:cnfStyle w:val="001000000000" w:firstRow="0" w:lastRow="0" w:firstColumn="1" w:lastColumn="0" w:oddVBand="0" w:evenVBand="0" w:oddHBand="0" w:evenHBand="0" w:firstRowFirstColumn="0" w:firstRowLastColumn="0" w:lastRowFirstColumn="0" w:lastRowLastColumn="0"/>
            <w:tcW w:w="2866" w:type="dxa"/>
          </w:tcPr>
          <w:p w:rsidR="00257C38" w:rsidRPr="00D005E8" w:rsidRDefault="00257C38" w:rsidP="009271D9">
            <w:pPr>
              <w:rPr>
                <w:b w:val="0"/>
              </w:rPr>
            </w:pPr>
            <w:r w:rsidRPr="00D005E8">
              <w:rPr>
                <w:b w:val="0"/>
              </w:rPr>
              <w:t>Cryogenic piping:</w:t>
            </w:r>
          </w:p>
          <w:p w:rsidR="00257C38" w:rsidRPr="00D005E8" w:rsidRDefault="00257C38" w:rsidP="009271D9">
            <w:pPr>
              <w:rPr>
                <w:b w:val="0"/>
              </w:rPr>
            </w:pPr>
            <w:r w:rsidRPr="00D005E8">
              <w:rPr>
                <w:b w:val="0"/>
              </w:rPr>
              <w:t>Explosion flying debris</w:t>
            </w:r>
          </w:p>
          <w:p w:rsidR="00257C38" w:rsidRDefault="00257C38" w:rsidP="009271D9">
            <w:pPr>
              <w:rPr>
                <w:b w:val="0"/>
              </w:rPr>
            </w:pPr>
            <w:r w:rsidRPr="00D005E8">
              <w:rPr>
                <w:b w:val="0"/>
              </w:rPr>
              <w:t>Exposure to cold gas</w:t>
            </w:r>
          </w:p>
          <w:p w:rsidR="00257C38" w:rsidRDefault="00257C38" w:rsidP="009271D9">
            <w:pPr>
              <w:rPr>
                <w:b w:val="0"/>
              </w:rPr>
            </w:pPr>
            <w:r>
              <w:rPr>
                <w:b w:val="0"/>
              </w:rPr>
              <w:t>ODH</w:t>
            </w:r>
          </w:p>
          <w:p w:rsidR="00257C38" w:rsidRPr="00D005E8" w:rsidRDefault="00257C38" w:rsidP="009271D9">
            <w:pPr>
              <w:rPr>
                <w:b w:val="0"/>
              </w:rPr>
            </w:pPr>
            <w:r>
              <w:rPr>
                <w:b w:val="0"/>
              </w:rPr>
              <w:t>Load noise/pressure wave</w:t>
            </w:r>
          </w:p>
        </w:tc>
        <w:tc>
          <w:tcPr>
            <w:tcW w:w="1359"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4</w:t>
            </w:r>
          </w:p>
        </w:tc>
        <w:tc>
          <w:tcPr>
            <w:tcW w:w="3960"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-Design/fabricated/examined/tested to Code.</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-Proper/adequate relief is installed.</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-Procedures/training</w:t>
            </w:r>
          </w:p>
        </w:tc>
        <w:tc>
          <w:tcPr>
            <w:tcW w:w="1165"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1</w:t>
            </w:r>
          </w:p>
        </w:tc>
      </w:tr>
    </w:tbl>
    <w:p w:rsidR="00257C38" w:rsidRDefault="00257C38" w:rsidP="00257C38">
      <w:pPr>
        <w:pStyle w:val="Caption"/>
      </w:pPr>
      <w:bookmarkStart w:id="2" w:name="_Ref429446114"/>
      <w:r>
        <w:t xml:space="preserve">Table </w:t>
      </w:r>
      <w:r>
        <w:fldChar w:fldCharType="begin"/>
      </w:r>
      <w:r>
        <w:instrText xml:space="preserve"> SEQ Table \* ARABIC </w:instrText>
      </w:r>
      <w:r>
        <w:fldChar w:fldCharType="separate"/>
      </w:r>
      <w:r>
        <w:rPr>
          <w:noProof/>
        </w:rPr>
        <w:t>7</w:t>
      </w:r>
      <w:r>
        <w:fldChar w:fldCharType="end"/>
      </w:r>
      <w:bookmarkEnd w:id="2"/>
      <w:r>
        <w:t>: Pressure hazards with mitigations</w:t>
      </w:r>
    </w:p>
    <w:p w:rsidR="00257C38" w:rsidRDefault="00257C38" w:rsidP="00257C38">
      <w:pPr>
        <w:pStyle w:val="Heading2"/>
      </w:pPr>
      <w:bookmarkStart w:id="3" w:name="_Toc429448503"/>
      <w:r>
        <w:t>Radiological Hazards</w:t>
      </w:r>
      <w:bookmarkEnd w:id="3"/>
    </w:p>
    <w:p w:rsidR="00257C38" w:rsidRDefault="00257C38" w:rsidP="00257C38">
      <w:r>
        <w:t>Tritium presents a number of atypical hazards to JLAB personnel. The unmitigated risk code associated with tritium shall be 4. This is a conservative assumption based on the potential for public exposure and elevated dose (above JLAB limits) for workers on site. Furthermore, the costs associated with decontamination may be significant if no mitigating steps are taken after a release. The table below addresses the radiological hazards associated with the target system.</w:t>
      </w:r>
    </w:p>
    <w:p w:rsidR="00257C38" w:rsidRDefault="00257C38" w:rsidP="00257C38"/>
    <w:p w:rsidR="00257C38" w:rsidRDefault="00257C38" w:rsidP="00257C38"/>
    <w:p w:rsidR="00257C38" w:rsidRDefault="00257C38" w:rsidP="00257C38"/>
    <w:tbl>
      <w:tblPr>
        <w:tblStyle w:val="GridTable1Light1"/>
        <w:tblW w:w="0" w:type="auto"/>
        <w:tblLook w:val="04A0" w:firstRow="1" w:lastRow="0" w:firstColumn="1" w:lastColumn="0" w:noHBand="0" w:noVBand="1"/>
      </w:tblPr>
      <w:tblGrid>
        <w:gridCol w:w="2866"/>
        <w:gridCol w:w="1359"/>
        <w:gridCol w:w="3960"/>
        <w:gridCol w:w="1165"/>
      </w:tblGrid>
      <w:tr w:rsidR="00257C38" w:rsidTr="00927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6" w:type="dxa"/>
          </w:tcPr>
          <w:p w:rsidR="00257C38" w:rsidRDefault="00257C38" w:rsidP="009271D9">
            <w:r>
              <w:t>Hazard</w:t>
            </w:r>
          </w:p>
        </w:tc>
        <w:tc>
          <w:tcPr>
            <w:tcW w:w="1359" w:type="dxa"/>
          </w:tcPr>
          <w:p w:rsidR="00257C38" w:rsidRDefault="00257C38" w:rsidP="009271D9">
            <w:pPr>
              <w:cnfStyle w:val="100000000000" w:firstRow="1" w:lastRow="0" w:firstColumn="0" w:lastColumn="0" w:oddVBand="0" w:evenVBand="0" w:oddHBand="0" w:evenHBand="0" w:firstRowFirstColumn="0" w:firstRowLastColumn="0" w:lastRowFirstColumn="0" w:lastRowLastColumn="0"/>
            </w:pPr>
            <w:r>
              <w:t>Unmitigated Risk Code</w:t>
            </w:r>
          </w:p>
        </w:tc>
        <w:tc>
          <w:tcPr>
            <w:tcW w:w="3960" w:type="dxa"/>
          </w:tcPr>
          <w:p w:rsidR="00257C38" w:rsidRDefault="00257C38" w:rsidP="009271D9">
            <w:pPr>
              <w:cnfStyle w:val="100000000000" w:firstRow="1" w:lastRow="0" w:firstColumn="0" w:lastColumn="0" w:oddVBand="0" w:evenVBand="0" w:oddHBand="0" w:evenHBand="0" w:firstRowFirstColumn="0" w:firstRowLastColumn="0" w:lastRowFirstColumn="0" w:lastRowLastColumn="0"/>
            </w:pPr>
            <w:r>
              <w:t>Mitigation</w:t>
            </w:r>
          </w:p>
        </w:tc>
        <w:tc>
          <w:tcPr>
            <w:tcW w:w="1165" w:type="dxa"/>
          </w:tcPr>
          <w:p w:rsidR="00257C38" w:rsidRDefault="00257C38" w:rsidP="009271D9">
            <w:pPr>
              <w:cnfStyle w:val="100000000000" w:firstRow="1" w:lastRow="0" w:firstColumn="0" w:lastColumn="0" w:oddVBand="0" w:evenVBand="0" w:oddHBand="0" w:evenHBand="0" w:firstRowFirstColumn="0" w:firstRowLastColumn="0" w:lastRowFirstColumn="0" w:lastRowLastColumn="0"/>
            </w:pPr>
            <w:r>
              <w:t>Mitigated Risk Code</w:t>
            </w:r>
          </w:p>
        </w:tc>
      </w:tr>
      <w:tr w:rsidR="00257C38" w:rsidTr="009271D9">
        <w:tc>
          <w:tcPr>
            <w:cnfStyle w:val="001000000000" w:firstRow="0" w:lastRow="0" w:firstColumn="1" w:lastColumn="0" w:oddVBand="0" w:evenVBand="0" w:oddHBand="0" w:evenHBand="0" w:firstRowFirstColumn="0" w:firstRowLastColumn="0" w:lastRowFirstColumn="0" w:lastRowLastColumn="0"/>
            <w:tcW w:w="2866" w:type="dxa"/>
          </w:tcPr>
          <w:p w:rsidR="00257C38" w:rsidRPr="006239C1" w:rsidRDefault="00257C38" w:rsidP="009271D9">
            <w:pPr>
              <w:rPr>
                <w:b w:val="0"/>
              </w:rPr>
            </w:pPr>
            <w:r w:rsidRPr="006239C1">
              <w:rPr>
                <w:b w:val="0"/>
              </w:rPr>
              <w:t>Uncontrolled release of 1100 Ci of T2:</w:t>
            </w:r>
          </w:p>
          <w:p w:rsidR="00257C38" w:rsidRPr="006239C1" w:rsidRDefault="00257C38" w:rsidP="009271D9">
            <w:pPr>
              <w:rPr>
                <w:b w:val="0"/>
              </w:rPr>
            </w:pPr>
            <w:r w:rsidRPr="006239C1">
              <w:rPr>
                <w:b w:val="0"/>
              </w:rPr>
              <w:t>1) Ground level release to environment</w:t>
            </w:r>
          </w:p>
          <w:p w:rsidR="00257C38" w:rsidRPr="006239C1" w:rsidRDefault="00257C38" w:rsidP="009271D9">
            <w:pPr>
              <w:rPr>
                <w:b w:val="0"/>
              </w:rPr>
            </w:pPr>
            <w:r w:rsidRPr="006239C1">
              <w:rPr>
                <w:b w:val="0"/>
              </w:rPr>
              <w:t>2) Worker exposure</w:t>
            </w:r>
          </w:p>
          <w:p w:rsidR="00257C38" w:rsidRPr="006239C1" w:rsidRDefault="00257C38" w:rsidP="009271D9">
            <w:pPr>
              <w:rPr>
                <w:b w:val="0"/>
              </w:rPr>
            </w:pPr>
            <w:r w:rsidRPr="006239C1">
              <w:rPr>
                <w:b w:val="0"/>
              </w:rPr>
              <w:t>3) public exposure</w:t>
            </w:r>
          </w:p>
          <w:p w:rsidR="00257C38" w:rsidRPr="006239C1" w:rsidRDefault="00257C38" w:rsidP="009271D9">
            <w:pPr>
              <w:rPr>
                <w:b w:val="0"/>
              </w:rPr>
            </w:pPr>
            <w:r w:rsidRPr="006239C1">
              <w:rPr>
                <w:b w:val="0"/>
              </w:rPr>
              <w:t>4) contamination of Surfaces in Hall A</w:t>
            </w:r>
          </w:p>
          <w:p w:rsidR="00257C38" w:rsidRPr="006239C1" w:rsidRDefault="00257C38" w:rsidP="009271D9">
            <w:pPr>
              <w:rPr>
                <w:b w:val="0"/>
              </w:rPr>
            </w:pPr>
            <w:r w:rsidRPr="006239C1">
              <w:rPr>
                <w:b w:val="0"/>
              </w:rPr>
              <w:t>Contamination of beam line</w:t>
            </w:r>
          </w:p>
          <w:p w:rsidR="00257C38" w:rsidRPr="006239C1" w:rsidRDefault="00257C38" w:rsidP="009271D9">
            <w:pPr>
              <w:rPr>
                <w:b w:val="0"/>
              </w:rPr>
            </w:pPr>
            <w:r w:rsidRPr="006239C1">
              <w:rPr>
                <w:b w:val="0"/>
              </w:rPr>
              <w:t>5) hi dose to installation team</w:t>
            </w:r>
          </w:p>
        </w:tc>
        <w:tc>
          <w:tcPr>
            <w:tcW w:w="1359"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4</w:t>
            </w:r>
          </w:p>
        </w:tc>
        <w:tc>
          <w:tcPr>
            <w:tcW w:w="3960"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 Design/construct the cell to Code with conservative FS</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FSD protections</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collimators</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Be isolation window</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fixed and portable T2 monitors</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Interlock system</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exhaust system with 20m stack</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Procedures/training</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simple installation</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- 3 levels of containment</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Getter system</w:t>
            </w:r>
          </w:p>
        </w:tc>
        <w:tc>
          <w:tcPr>
            <w:tcW w:w="1165"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2</w:t>
            </w:r>
          </w:p>
        </w:tc>
      </w:tr>
      <w:tr w:rsidR="00257C38" w:rsidTr="009271D9">
        <w:tc>
          <w:tcPr>
            <w:cnfStyle w:val="001000000000" w:firstRow="0" w:lastRow="0" w:firstColumn="1" w:lastColumn="0" w:oddVBand="0" w:evenVBand="0" w:oddHBand="0" w:evenHBand="0" w:firstRowFirstColumn="0" w:firstRowLastColumn="0" w:lastRowFirstColumn="0" w:lastRowLastColumn="0"/>
            <w:tcW w:w="2866" w:type="dxa"/>
          </w:tcPr>
          <w:p w:rsidR="00257C38" w:rsidRPr="006239C1" w:rsidRDefault="00257C38" w:rsidP="009271D9">
            <w:pPr>
              <w:rPr>
                <w:b w:val="0"/>
              </w:rPr>
            </w:pPr>
            <w:r w:rsidRPr="006239C1">
              <w:rPr>
                <w:b w:val="0"/>
              </w:rPr>
              <w:t>Uncontrolled leak of T2 from cell seals and thin sections:</w:t>
            </w:r>
          </w:p>
          <w:p w:rsidR="00257C38" w:rsidRPr="006239C1" w:rsidRDefault="00257C38" w:rsidP="009271D9">
            <w:pPr>
              <w:rPr>
                <w:b w:val="0"/>
              </w:rPr>
            </w:pPr>
            <w:r w:rsidRPr="006239C1">
              <w:rPr>
                <w:b w:val="0"/>
                <w:bCs w:val="0"/>
              </w:rPr>
              <w:t>1)</w:t>
            </w:r>
            <w:r w:rsidRPr="006239C1">
              <w:rPr>
                <w:b w:val="0"/>
              </w:rPr>
              <w:t xml:space="preserve"> Possible contamination of beamline</w:t>
            </w:r>
          </w:p>
          <w:p w:rsidR="00257C38" w:rsidRPr="006239C1" w:rsidRDefault="00257C38" w:rsidP="009271D9">
            <w:pPr>
              <w:rPr>
                <w:b w:val="0"/>
              </w:rPr>
            </w:pPr>
            <w:r w:rsidRPr="006239C1">
              <w:rPr>
                <w:b w:val="0"/>
              </w:rPr>
              <w:t xml:space="preserve">2) </w:t>
            </w:r>
            <w:proofErr w:type="gramStart"/>
            <w:r w:rsidRPr="006239C1">
              <w:rPr>
                <w:b w:val="0"/>
              </w:rPr>
              <w:t>possible</w:t>
            </w:r>
            <w:proofErr w:type="gramEnd"/>
            <w:r w:rsidRPr="006239C1">
              <w:rPr>
                <w:b w:val="0"/>
              </w:rPr>
              <w:t xml:space="preserve"> exposure of workers in Hall.</w:t>
            </w:r>
          </w:p>
          <w:p w:rsidR="00257C38" w:rsidRPr="006239C1" w:rsidRDefault="00257C38" w:rsidP="009271D9">
            <w:pPr>
              <w:rPr>
                <w:b w:val="0"/>
              </w:rPr>
            </w:pPr>
            <w:r w:rsidRPr="006239C1">
              <w:rPr>
                <w:b w:val="0"/>
              </w:rPr>
              <w:t xml:space="preserve">3) </w:t>
            </w:r>
            <w:proofErr w:type="gramStart"/>
            <w:r w:rsidRPr="006239C1">
              <w:rPr>
                <w:b w:val="0"/>
              </w:rPr>
              <w:t>low</w:t>
            </w:r>
            <w:proofErr w:type="gramEnd"/>
            <w:r w:rsidRPr="006239C1">
              <w:rPr>
                <w:b w:val="0"/>
              </w:rPr>
              <w:t xml:space="preserve"> level release of T2 to hall and contamination thereof.</w:t>
            </w:r>
          </w:p>
        </w:tc>
        <w:tc>
          <w:tcPr>
            <w:tcW w:w="1359"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3</w:t>
            </w:r>
          </w:p>
        </w:tc>
        <w:tc>
          <w:tcPr>
            <w:tcW w:w="3960"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 All above mitigations</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xml:space="preserve">- Seals are typically </w:t>
            </w:r>
            <w:proofErr w:type="gramStart"/>
            <w:r>
              <w:t>He</w:t>
            </w:r>
            <w:proofErr w:type="gramEnd"/>
            <w:r>
              <w:t xml:space="preserve"> leak tight even when cold.</w:t>
            </w:r>
          </w:p>
          <w:p w:rsidR="00257C38" w:rsidRDefault="00257C38" w:rsidP="009271D9">
            <w:pPr>
              <w:cnfStyle w:val="000000000000" w:firstRow="0" w:lastRow="0" w:firstColumn="0" w:lastColumn="0" w:oddVBand="0" w:evenVBand="0" w:oddHBand="0" w:evenHBand="0" w:firstRowFirstColumn="0" w:firstRowLastColumn="0" w:lastRowFirstColumn="0" w:lastRowLastColumn="0"/>
            </w:pPr>
            <w:r>
              <w:t>- Pumps vented to exhaust system</w:t>
            </w:r>
          </w:p>
        </w:tc>
        <w:tc>
          <w:tcPr>
            <w:tcW w:w="1165" w:type="dxa"/>
          </w:tcPr>
          <w:p w:rsidR="00257C38" w:rsidRDefault="00257C38" w:rsidP="009271D9">
            <w:pPr>
              <w:cnfStyle w:val="000000000000" w:firstRow="0" w:lastRow="0" w:firstColumn="0" w:lastColumn="0" w:oddVBand="0" w:evenVBand="0" w:oddHBand="0" w:evenHBand="0" w:firstRowFirstColumn="0" w:firstRowLastColumn="0" w:lastRowFirstColumn="0" w:lastRowLastColumn="0"/>
            </w:pPr>
            <w:r>
              <w:t>1</w:t>
            </w:r>
          </w:p>
        </w:tc>
      </w:tr>
    </w:tbl>
    <w:p w:rsidR="00257C38" w:rsidRPr="008A7141" w:rsidRDefault="00257C38" w:rsidP="00257C38"/>
    <w:p w:rsidR="00257C38" w:rsidRPr="00257C38" w:rsidRDefault="00257C38">
      <w:pPr>
        <w:pStyle w:val="NormalWeb"/>
        <w:ind w:left="640" w:hanging="640"/>
        <w:divId w:val="315692607"/>
        <w:rPr>
          <w:rFonts w:ascii="Arial" w:hAnsi="Arial" w:cs="Arial"/>
          <w:noProof/>
          <w:sz w:val="20"/>
        </w:rPr>
      </w:pPr>
      <w:r>
        <w:rPr>
          <w:rFonts w:ascii="Arial" w:hAnsi="Arial" w:cs="Arial"/>
          <w:color w:val="252525"/>
          <w:sz w:val="21"/>
          <w:szCs w:val="21"/>
          <w:shd w:val="clear" w:color="auto" w:fill="FFFFFF"/>
        </w:rPr>
        <w:fldChar w:fldCharType="begin" w:fldLock="1"/>
      </w:r>
      <w:r>
        <w:rPr>
          <w:rFonts w:ascii="Arial" w:hAnsi="Arial" w:cs="Arial"/>
          <w:color w:val="252525"/>
          <w:sz w:val="21"/>
          <w:szCs w:val="21"/>
          <w:shd w:val="clear" w:color="auto" w:fill="FFFFFF"/>
        </w:rPr>
        <w:instrText xml:space="preserve">ADDIN Mendeley Bibliography CSL_BIBLIOGRAPHY </w:instrText>
      </w:r>
      <w:r>
        <w:rPr>
          <w:rFonts w:ascii="Arial" w:hAnsi="Arial" w:cs="Arial"/>
          <w:color w:val="252525"/>
          <w:sz w:val="21"/>
          <w:szCs w:val="21"/>
          <w:shd w:val="clear" w:color="auto" w:fill="FFFFFF"/>
        </w:rPr>
        <w:fldChar w:fldCharType="separate"/>
      </w:r>
      <w:r w:rsidRPr="00257C38">
        <w:rPr>
          <w:rFonts w:ascii="Arial" w:hAnsi="Arial" w:cs="Arial"/>
          <w:noProof/>
          <w:sz w:val="20"/>
        </w:rPr>
        <w:t>[1]</w:t>
      </w:r>
      <w:r w:rsidRPr="00257C38">
        <w:rPr>
          <w:rFonts w:ascii="Arial" w:hAnsi="Arial" w:cs="Arial"/>
          <w:noProof/>
          <w:sz w:val="20"/>
        </w:rPr>
        <w:tab/>
        <w:t xml:space="preserve">D. Meekins, </w:t>
      </w:r>
      <w:r w:rsidRPr="00257C38">
        <w:rPr>
          <w:rFonts w:ascii="Arial" w:hAnsi="Arial" w:cs="Arial"/>
          <w:i/>
          <w:iCs/>
          <w:noProof/>
          <w:sz w:val="20"/>
        </w:rPr>
        <w:t>Hall A Tritium Target FMEA</w:t>
      </w:r>
      <w:r w:rsidRPr="00257C38">
        <w:rPr>
          <w:rFonts w:ascii="Arial" w:hAnsi="Arial" w:cs="Arial"/>
          <w:noProof/>
          <w:sz w:val="20"/>
        </w:rPr>
        <w:t xml:space="preserve"> (2015).</w:t>
      </w:r>
    </w:p>
    <w:p w:rsidR="00257C38" w:rsidRPr="00257C38" w:rsidRDefault="00257C38">
      <w:pPr>
        <w:pStyle w:val="NormalWeb"/>
        <w:ind w:left="640" w:hanging="640"/>
        <w:divId w:val="315692607"/>
        <w:rPr>
          <w:rFonts w:ascii="Arial" w:hAnsi="Arial" w:cs="Arial"/>
          <w:noProof/>
          <w:sz w:val="20"/>
        </w:rPr>
      </w:pPr>
      <w:r w:rsidRPr="00257C38">
        <w:rPr>
          <w:rFonts w:ascii="Arial" w:hAnsi="Arial" w:cs="Arial"/>
          <w:noProof/>
          <w:sz w:val="20"/>
        </w:rPr>
        <w:t>[2]</w:t>
      </w:r>
      <w:r w:rsidRPr="00257C38">
        <w:rPr>
          <w:rFonts w:ascii="Arial" w:hAnsi="Arial" w:cs="Arial"/>
          <w:noProof/>
          <w:sz w:val="20"/>
        </w:rPr>
        <w:tab/>
        <w:t xml:space="preserve">D. Stamatis, </w:t>
      </w:r>
      <w:r w:rsidRPr="00257C38">
        <w:rPr>
          <w:rFonts w:ascii="Arial" w:hAnsi="Arial" w:cs="Arial"/>
          <w:i/>
          <w:iCs/>
          <w:noProof/>
          <w:sz w:val="20"/>
        </w:rPr>
        <w:t>Failure Mode and Effect Analysis: FMEA from Theory to Execution</w:t>
      </w:r>
      <w:r w:rsidRPr="00257C38">
        <w:rPr>
          <w:rFonts w:ascii="Arial" w:hAnsi="Arial" w:cs="Arial"/>
          <w:noProof/>
          <w:sz w:val="20"/>
        </w:rPr>
        <w:t xml:space="preserve"> (2003).</w:t>
      </w:r>
    </w:p>
    <w:p w:rsidR="00257C38" w:rsidRPr="00257C38" w:rsidRDefault="00257C38">
      <w:pPr>
        <w:pStyle w:val="NormalWeb"/>
        <w:ind w:left="640" w:hanging="640"/>
        <w:divId w:val="315692607"/>
        <w:rPr>
          <w:rFonts w:ascii="Arial" w:hAnsi="Arial" w:cs="Arial"/>
          <w:noProof/>
          <w:sz w:val="20"/>
        </w:rPr>
      </w:pPr>
      <w:r w:rsidRPr="00257C38">
        <w:rPr>
          <w:rFonts w:ascii="Arial" w:hAnsi="Arial" w:cs="Arial"/>
          <w:noProof/>
          <w:sz w:val="20"/>
        </w:rPr>
        <w:t>[3]</w:t>
      </w:r>
      <w:r w:rsidRPr="00257C38">
        <w:rPr>
          <w:rFonts w:ascii="Arial" w:hAnsi="Arial" w:cs="Arial"/>
          <w:noProof/>
          <w:sz w:val="20"/>
        </w:rPr>
        <w:tab/>
        <w:t xml:space="preserve">M. Seely and D. Meekins, </w:t>
      </w:r>
      <w:r w:rsidRPr="00257C38">
        <w:rPr>
          <w:rFonts w:ascii="Arial" w:hAnsi="Arial" w:cs="Arial"/>
          <w:i/>
          <w:iCs/>
          <w:noProof/>
          <w:sz w:val="20"/>
        </w:rPr>
        <w:t>Hydrogen Target Safety Assessment Document</w:t>
      </w:r>
      <w:r w:rsidRPr="00257C38">
        <w:rPr>
          <w:rFonts w:ascii="Arial" w:hAnsi="Arial" w:cs="Arial"/>
          <w:noProof/>
          <w:sz w:val="20"/>
        </w:rPr>
        <w:t xml:space="preserve"> (2004).</w:t>
      </w:r>
    </w:p>
    <w:p w:rsidR="00257C38" w:rsidRPr="00257C38" w:rsidRDefault="00257C38">
      <w:pPr>
        <w:pStyle w:val="NormalWeb"/>
        <w:ind w:left="640" w:hanging="640"/>
        <w:divId w:val="315692607"/>
        <w:rPr>
          <w:rFonts w:ascii="Arial" w:hAnsi="Arial" w:cs="Arial"/>
          <w:noProof/>
          <w:sz w:val="20"/>
        </w:rPr>
      </w:pPr>
      <w:r w:rsidRPr="00257C38">
        <w:rPr>
          <w:rFonts w:ascii="Arial" w:hAnsi="Arial" w:cs="Arial"/>
          <w:noProof/>
          <w:sz w:val="20"/>
        </w:rPr>
        <w:t>[4]</w:t>
      </w:r>
      <w:r w:rsidRPr="00257C38">
        <w:rPr>
          <w:rFonts w:ascii="Arial" w:hAnsi="Arial" w:cs="Arial"/>
          <w:noProof/>
          <w:sz w:val="20"/>
        </w:rPr>
        <w:tab/>
        <w:t xml:space="preserve">ANSI, </w:t>
      </w:r>
      <w:r w:rsidRPr="00257C38">
        <w:rPr>
          <w:rFonts w:ascii="Arial" w:hAnsi="Arial" w:cs="Arial"/>
          <w:i/>
          <w:iCs/>
          <w:noProof/>
          <w:sz w:val="20"/>
        </w:rPr>
        <w:t>ANSI/GEIA-STD-0010</w:t>
      </w:r>
      <w:r w:rsidRPr="00257C38">
        <w:rPr>
          <w:rFonts w:ascii="Arial" w:hAnsi="Arial" w:cs="Arial"/>
          <w:noProof/>
          <w:sz w:val="20"/>
        </w:rPr>
        <w:t xml:space="preserve"> (2010). </w:t>
      </w:r>
    </w:p>
    <w:p w:rsidR="00257C38" w:rsidRDefault="00257C38" w:rsidP="00257C38">
      <w:pPr>
        <w:rPr>
          <w:rFonts w:ascii="Arial" w:hAnsi="Arial" w:cs="Arial"/>
          <w:color w:val="252525"/>
          <w:sz w:val="21"/>
          <w:szCs w:val="21"/>
          <w:shd w:val="clear" w:color="auto" w:fill="FFFFFF"/>
        </w:rPr>
      </w:pPr>
      <w:r>
        <w:rPr>
          <w:rFonts w:ascii="Arial" w:hAnsi="Arial" w:cs="Arial"/>
          <w:color w:val="252525"/>
          <w:sz w:val="21"/>
          <w:szCs w:val="21"/>
          <w:shd w:val="clear" w:color="auto" w:fill="FFFFFF"/>
        </w:rPr>
        <w:fldChar w:fldCharType="end"/>
      </w:r>
      <w:bookmarkStart w:id="4" w:name="_GoBack"/>
      <w:bookmarkEnd w:id="4"/>
    </w:p>
    <w:p w:rsidR="00257C38" w:rsidRDefault="00257C38" w:rsidP="00257C38">
      <w:pPr>
        <w:rPr>
          <w:rFonts w:ascii="Arial" w:hAnsi="Arial" w:cs="Arial"/>
          <w:color w:val="252525"/>
          <w:sz w:val="21"/>
          <w:szCs w:val="21"/>
          <w:shd w:val="clear" w:color="auto" w:fill="FFFFFF"/>
        </w:rPr>
      </w:pPr>
    </w:p>
    <w:p w:rsidR="00257C38" w:rsidRDefault="00257C38" w:rsidP="00257C38">
      <w:pPr>
        <w:rPr>
          <w:rFonts w:ascii="Arial" w:hAnsi="Arial" w:cs="Arial"/>
          <w:color w:val="252525"/>
          <w:sz w:val="21"/>
          <w:szCs w:val="21"/>
          <w:shd w:val="clear" w:color="auto" w:fill="FFFFFF"/>
        </w:rPr>
      </w:pPr>
    </w:p>
    <w:p w:rsidR="00257C38" w:rsidRDefault="00257C38" w:rsidP="00257C38">
      <w:pPr>
        <w:rPr>
          <w:rFonts w:ascii="Arial" w:hAnsi="Arial" w:cs="Arial"/>
          <w:color w:val="252525"/>
          <w:sz w:val="21"/>
          <w:szCs w:val="21"/>
          <w:shd w:val="clear" w:color="auto" w:fill="FFFFFF"/>
        </w:rPr>
      </w:pPr>
    </w:p>
    <w:p w:rsidR="00257C38" w:rsidRDefault="00257C38" w:rsidP="00257C38">
      <w:pPr>
        <w:rPr>
          <w:rFonts w:ascii="Arial" w:hAnsi="Arial" w:cs="Arial"/>
          <w:color w:val="252525"/>
          <w:sz w:val="21"/>
          <w:szCs w:val="21"/>
          <w:shd w:val="clear" w:color="auto" w:fill="FFFFFF"/>
        </w:rPr>
      </w:pPr>
    </w:p>
    <w:p w:rsidR="00257C38" w:rsidRDefault="00257C38" w:rsidP="00257C38">
      <w:pPr>
        <w:rPr>
          <w:rFonts w:ascii="Arial" w:hAnsi="Arial" w:cs="Arial"/>
          <w:color w:val="252525"/>
          <w:sz w:val="21"/>
          <w:szCs w:val="21"/>
          <w:shd w:val="clear" w:color="auto" w:fill="FFFFFF"/>
        </w:rPr>
      </w:pPr>
    </w:p>
    <w:p w:rsidR="00257C38" w:rsidRPr="0016227F" w:rsidRDefault="00257C38" w:rsidP="00257C38"/>
    <w:p w:rsidR="00EB6212" w:rsidRDefault="00EB6212"/>
    <w:sectPr w:rsidR="00EB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1A2C"/>
    <w:multiLevelType w:val="multilevel"/>
    <w:tmpl w:val="56A0D4E6"/>
    <w:lvl w:ilvl="0">
      <w:start w:val="1"/>
      <w:numFmt w:val="decimal"/>
      <w:pStyle w:val="Heading1"/>
      <w:lvlText w:val="%1"/>
      <w:lvlJc w:val="left"/>
      <w:pPr>
        <w:ind w:left="360" w:hanging="360"/>
      </w:pPr>
      <w:rPr>
        <w:rFonts w:hint="default"/>
        <w:sz w:val="36"/>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360" w:firstLine="0"/>
      </w:pPr>
      <w:rPr>
        <w:rFonts w:hint="default"/>
      </w:rPr>
    </w:lvl>
    <w:lvl w:ilvl="3">
      <w:start w:val="1"/>
      <w:numFmt w:val="decimal"/>
      <w:pStyle w:val="Heading4"/>
      <w:lvlText w:val="%1.%2.%3.%4"/>
      <w:lvlJc w:val="left"/>
      <w:pPr>
        <w:ind w:left="504" w:firstLine="72"/>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F1D7635"/>
    <w:multiLevelType w:val="hybridMultilevel"/>
    <w:tmpl w:val="4BD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3730A"/>
    <w:multiLevelType w:val="hybridMultilevel"/>
    <w:tmpl w:val="4DDA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8"/>
    <w:rsid w:val="00257C38"/>
    <w:rsid w:val="00EB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2E84A-CA9D-42A4-9FC8-9A5A3E27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38"/>
    <w:pPr>
      <w:widowControl w:val="0"/>
    </w:pPr>
  </w:style>
  <w:style w:type="paragraph" w:styleId="Heading1">
    <w:name w:val="heading 1"/>
    <w:basedOn w:val="Normal"/>
    <w:next w:val="Normal"/>
    <w:link w:val="Heading1Char"/>
    <w:uiPriority w:val="9"/>
    <w:qFormat/>
    <w:rsid w:val="00257C38"/>
    <w:pPr>
      <w:pageBreakBefore/>
      <w:numPr>
        <w:numId w:val="1"/>
      </w:numPr>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257C38"/>
    <w:pPr>
      <w:numPr>
        <w:ilvl w:val="1"/>
        <w:numId w:val="1"/>
      </w:numPr>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57C38"/>
    <w:pPr>
      <w:keepNext/>
      <w:keepLines/>
      <w:numPr>
        <w:ilvl w:val="2"/>
        <w:numId w:val="1"/>
      </w:numPr>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257C38"/>
    <w:pPr>
      <w:keepNext/>
      <w:keepLines/>
      <w:numPr>
        <w:ilvl w:val="3"/>
        <w:numId w:val="1"/>
      </w:numPr>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38"/>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257C38"/>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257C38"/>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257C38"/>
    <w:rPr>
      <w:rFonts w:asciiTheme="majorHAnsi" w:eastAsiaTheme="majorEastAsia" w:hAnsiTheme="majorHAnsi" w:cstheme="majorBidi"/>
      <w:b/>
      <w:iCs/>
      <w:color w:val="000000" w:themeColor="text1"/>
    </w:rPr>
  </w:style>
  <w:style w:type="paragraph" w:styleId="ListParagraph">
    <w:name w:val="List Paragraph"/>
    <w:basedOn w:val="Normal"/>
    <w:uiPriority w:val="34"/>
    <w:qFormat/>
    <w:rsid w:val="00257C38"/>
    <w:pPr>
      <w:ind w:left="720"/>
      <w:contextualSpacing/>
    </w:pPr>
  </w:style>
  <w:style w:type="paragraph" w:styleId="Caption">
    <w:name w:val="caption"/>
    <w:basedOn w:val="Normal"/>
    <w:next w:val="Normal"/>
    <w:uiPriority w:val="35"/>
    <w:unhideWhenUsed/>
    <w:qFormat/>
    <w:rsid w:val="00257C38"/>
    <w:pPr>
      <w:spacing w:before="120" w:after="200" w:line="240" w:lineRule="auto"/>
      <w:jc w:val="center"/>
    </w:pPr>
    <w:rPr>
      <w:rFonts w:eastAsiaTheme="minorEastAsia"/>
      <w:bCs/>
      <w:color w:val="000000" w:themeColor="text1"/>
      <w:szCs w:val="18"/>
    </w:rPr>
  </w:style>
  <w:style w:type="table" w:customStyle="1" w:styleId="GridTable1Light1">
    <w:name w:val="Grid Table 1 Light1"/>
    <w:basedOn w:val="TableNormal"/>
    <w:uiPriority w:val="46"/>
    <w:rsid w:val="00257C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57C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257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C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57C3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dmeekins10@gmail.com</dc:creator>
  <cp:keywords/>
  <dc:description/>
  <cp:lastModifiedBy>dmeekins10@gmail.com</cp:lastModifiedBy>
  <cp:revision>1</cp:revision>
  <dcterms:created xsi:type="dcterms:W3CDTF">2015-09-08T08:48:00Z</dcterms:created>
  <dcterms:modified xsi:type="dcterms:W3CDTF">2015-09-08T08:49:00Z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dmeekins10@gmail.com@www.mendeley.com</vt:lpwstr>
  </property>
  <property fmtid="{D5CDD505-2E9C-101B-9397-08002B2CF9AE}" pid="4" name="Mendeley Citation Style_1">
    <vt:lpwstr>http://www.zotero.org/styles/american-physics-society</vt:lpwstr>
  </property>
  <property fmtid="{D5CDD505-2E9C-101B-9397-08002B2CF9AE}" pid="5" name="Mendeley Recent Style Id 0_1">
    <vt:lpwstr>http://www.zotero.org/styles/american-physics-society</vt:lpwstr>
  </property>
  <property fmtid="{D5CDD505-2E9C-101B-9397-08002B2CF9AE}" pid="6" name="Mendeley Recent Style Name 0_1">
    <vt:lpwstr>American Physics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