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822B" w14:textId="00398936" w:rsidR="00A377BB" w:rsidRPr="00EF6DA4" w:rsidRDefault="00A377BB" w:rsidP="00A377BB">
      <w:pPr>
        <w:pStyle w:val="Default"/>
        <w:jc w:val="center"/>
      </w:pPr>
      <w:r w:rsidRPr="00EF6DA4">
        <w:t>Response on the critical comments of the TAC Report addressed to</w:t>
      </w:r>
    </w:p>
    <w:p w14:paraId="1A3CB39D" w14:textId="6551230E" w:rsidR="00633F5D" w:rsidRPr="00EF6DA4" w:rsidRDefault="00A377BB" w:rsidP="00A377BB">
      <w:pPr>
        <w:pStyle w:val="Default"/>
        <w:jc w:val="center"/>
      </w:pPr>
      <w:r w:rsidRPr="00EF6DA4">
        <w:t>the KLF proposal C12-19-001 for PAC48</w:t>
      </w:r>
    </w:p>
    <w:p w14:paraId="74BABF6D" w14:textId="3B4EB5A7" w:rsidR="00A377BB" w:rsidRPr="00EF6DA4" w:rsidRDefault="00A377BB" w:rsidP="00A377BB">
      <w:pPr>
        <w:pStyle w:val="Default"/>
        <w:jc w:val="center"/>
      </w:pPr>
    </w:p>
    <w:p w14:paraId="559BA7A6" w14:textId="4F7B7F4B" w:rsidR="00A377BB" w:rsidRPr="00EF6DA4" w:rsidRDefault="00A377BB" w:rsidP="00A377BB">
      <w:pPr>
        <w:pStyle w:val="Default"/>
      </w:pPr>
    </w:p>
    <w:p w14:paraId="686EFA9B" w14:textId="77777777" w:rsidR="00A377BB" w:rsidRPr="00EF6DA4" w:rsidRDefault="00A377BB" w:rsidP="00A377BB">
      <w:pPr>
        <w:pStyle w:val="Default"/>
      </w:pPr>
    </w:p>
    <w:p w14:paraId="0490EEC5" w14:textId="6AAFB969" w:rsidR="00A377BB" w:rsidRPr="00EF6DA4" w:rsidRDefault="00A377BB" w:rsidP="00EF6DA4">
      <w:pPr>
        <w:pStyle w:val="Default"/>
        <w:jc w:val="both"/>
      </w:pPr>
      <w:r w:rsidRPr="00EF6DA4">
        <w:rPr>
          <w:b/>
          <w:bCs/>
        </w:rPr>
        <w:t>Noticed typos in the 2020 proposal</w:t>
      </w:r>
      <w:r w:rsidRPr="00EF6DA4">
        <w:t xml:space="preserve">: </w:t>
      </w:r>
      <w:r w:rsidRPr="00EF6DA4">
        <w:rPr>
          <w:b/>
          <w:bCs/>
        </w:rPr>
        <w:t>Table 4</w:t>
      </w:r>
      <w:r w:rsidRPr="00EF6DA4">
        <w:t xml:space="preserve">: K°/K°-bar ratio is expected to be 2:1 at the Be target, rather than at the cryogenic target. At the cryogenic target it is expected to be close to 1:1. </w:t>
      </w:r>
    </w:p>
    <w:p w14:paraId="4FCF40FA" w14:textId="637EE022" w:rsidR="00A377BB" w:rsidRPr="00EF6DA4" w:rsidRDefault="00A377BB" w:rsidP="00EF6DA4">
      <w:pPr>
        <w:pStyle w:val="Default"/>
        <w:jc w:val="both"/>
      </w:pPr>
      <w:r w:rsidRPr="00EF6DA4">
        <w:rPr>
          <w:b/>
          <w:bCs/>
        </w:rPr>
        <w:t>Fig.22 caption, and page 32</w:t>
      </w:r>
      <w:r w:rsidRPr="00EF6DA4">
        <w:t>: Radiator thickness: instead of 0.005% should be 0.05%.</w:t>
      </w:r>
    </w:p>
    <w:p w14:paraId="1A48FC6D" w14:textId="7D08B3B7" w:rsidR="00A377BB" w:rsidRPr="00EF6DA4" w:rsidRDefault="00A377BB" w:rsidP="00A377BB">
      <w:pPr>
        <w:pStyle w:val="Default"/>
        <w:rPr>
          <w:i/>
          <w:iCs/>
        </w:rPr>
      </w:pPr>
    </w:p>
    <w:p w14:paraId="51E376AE" w14:textId="5335A657" w:rsidR="00A377BB" w:rsidRPr="00EF6DA4" w:rsidRDefault="00A377BB" w:rsidP="007F1F6F">
      <w:pPr>
        <w:pStyle w:val="Default"/>
        <w:jc w:val="both"/>
        <w:rPr>
          <w:color w:val="0000FF"/>
        </w:rPr>
      </w:pPr>
      <w:r w:rsidRPr="00EF6DA4">
        <w:rPr>
          <w:color w:val="0000FF"/>
        </w:rPr>
        <w:t xml:space="preserve">Thanks. </w:t>
      </w:r>
    </w:p>
    <w:p w14:paraId="1849402C" w14:textId="77777777" w:rsidR="007F1F6F" w:rsidRPr="00EF6DA4" w:rsidRDefault="007F1F6F" w:rsidP="007F1F6F">
      <w:pPr>
        <w:pStyle w:val="Default"/>
        <w:jc w:val="both"/>
        <w:rPr>
          <w:color w:val="0000FF"/>
        </w:rPr>
      </w:pPr>
    </w:p>
    <w:p w14:paraId="35816E78" w14:textId="7B1E435D" w:rsidR="007F1F6F" w:rsidRPr="00EF6DA4" w:rsidRDefault="00A377BB" w:rsidP="00DB19E1">
      <w:pPr>
        <w:pStyle w:val="Default"/>
        <w:jc w:val="both"/>
        <w:rPr>
          <w:color w:val="0000FF"/>
        </w:rPr>
      </w:pPr>
      <w:r w:rsidRPr="00EF6DA4">
        <w:rPr>
          <w:color w:val="0000FF"/>
        </w:rPr>
        <w:t>The appropriate line of Table 4 on pg</w:t>
      </w:r>
      <w:r w:rsidR="00EF6DA4">
        <w:rPr>
          <w:color w:val="0000FF"/>
        </w:rPr>
        <w:t>.</w:t>
      </w:r>
      <w:r w:rsidRPr="00EF6DA4">
        <w:rPr>
          <w:color w:val="0000FF"/>
        </w:rPr>
        <w:t xml:space="preserve"> 28 has reading as ``</w:t>
      </w:r>
      <w:r w:rsidRPr="00EF6DA4">
        <w:rPr>
          <w:i/>
          <w:iCs/>
          <w:color w:val="0000FF"/>
        </w:rPr>
        <w:t>K°/K°-bar ratio at Be-target is 2:1.”</w:t>
      </w:r>
      <w:r w:rsidR="00DB19E1" w:rsidRPr="00EF6DA4">
        <w:rPr>
          <w:color w:val="0000FF"/>
        </w:rPr>
        <w:t>, where on Be-target reads as just before the tungsten plug</w:t>
      </w:r>
      <w:r w:rsidR="00DB19E1" w:rsidRPr="00EF6DA4">
        <w:rPr>
          <w:i/>
          <w:iCs/>
          <w:color w:val="0000FF"/>
        </w:rPr>
        <w:t xml:space="preserve">. </w:t>
      </w:r>
      <w:r w:rsidR="00DB19E1" w:rsidRPr="00EF6DA4">
        <w:rPr>
          <w:color w:val="0000FF"/>
        </w:rPr>
        <w:t xml:space="preserve">On a cryogenic target we have pure </w:t>
      </w:r>
      <m:oMath>
        <m:sSub>
          <m:sSubPr>
            <m:ctrlPr>
              <w:rPr>
                <w:rFonts w:ascii="Cambria Math" w:hAnsi="Cambria Math"/>
                <w:i/>
                <w:color w:val="0000FF"/>
              </w:rPr>
            </m:ctrlPr>
          </m:sSubPr>
          <m:e>
            <m:r>
              <w:rPr>
                <w:rFonts w:ascii="Cambria Math" w:hAnsi="Cambria Math"/>
                <w:color w:val="0000FF"/>
              </w:rPr>
              <m:t>K</m:t>
            </m:r>
          </m:e>
          <m:sub>
            <m:r>
              <w:rPr>
                <w:rFonts w:ascii="Cambria Math" w:hAnsi="Cambria Math"/>
                <w:color w:val="0000FF"/>
              </w:rPr>
              <m:t>L</m:t>
            </m:r>
          </m:sub>
        </m:sSub>
      </m:oMath>
      <w:r w:rsidR="00DB19E1" w:rsidRPr="00EF6DA4">
        <w:rPr>
          <w:rFonts w:eastAsiaTheme="minorEastAsia"/>
          <w:color w:val="0000FF"/>
        </w:rPr>
        <w:t xml:space="preserve"> beam, hence “expected </w:t>
      </w:r>
      <m:oMath>
        <m:sSup>
          <m:sSupPr>
            <m:ctrlPr>
              <w:rPr>
                <w:rFonts w:ascii="Cambria Math" w:eastAsiaTheme="minorEastAsia" w:hAnsi="Cambria Math"/>
                <w:i/>
                <w:color w:val="0000FF"/>
              </w:rPr>
            </m:ctrlPr>
          </m:sSupPr>
          <m:e>
            <m:r>
              <w:rPr>
                <w:rFonts w:ascii="Cambria Math" w:eastAsiaTheme="minorEastAsia" w:hAnsi="Cambria Math"/>
                <w:color w:val="0000FF"/>
              </w:rPr>
              <m:t>K</m:t>
            </m:r>
          </m:e>
          <m:sup>
            <m:r>
              <w:rPr>
                <w:rFonts w:ascii="Cambria Math" w:eastAsiaTheme="minorEastAsia" w:hAnsi="Cambria Math"/>
                <w:color w:val="0000FF"/>
              </w:rPr>
              <m:t>0</m:t>
            </m:r>
          </m:sup>
        </m:sSup>
        <m:r>
          <w:rPr>
            <w:rFonts w:ascii="Cambria Math" w:eastAsiaTheme="minorEastAsia" w:hAnsi="Cambria Math"/>
            <w:color w:val="0000FF"/>
          </w:rPr>
          <m:t>/</m:t>
        </m:r>
        <m:acc>
          <m:accPr>
            <m:chr m:val="̅"/>
            <m:ctrlPr>
              <w:rPr>
                <w:rFonts w:ascii="Cambria Math" w:eastAsiaTheme="minorEastAsia" w:hAnsi="Cambria Math"/>
                <w:i/>
                <w:color w:val="0000FF"/>
              </w:rPr>
            </m:ctrlPr>
          </m:accPr>
          <m:e>
            <m:sSup>
              <m:sSupPr>
                <m:ctrlPr>
                  <w:rPr>
                    <w:rFonts w:ascii="Cambria Math" w:eastAsiaTheme="minorEastAsia" w:hAnsi="Cambria Math"/>
                    <w:i/>
                    <w:color w:val="0000FF"/>
                  </w:rPr>
                </m:ctrlPr>
              </m:sSupPr>
              <m:e>
                <m:r>
                  <w:rPr>
                    <w:rFonts w:ascii="Cambria Math" w:eastAsiaTheme="minorEastAsia" w:hAnsi="Cambria Math"/>
                    <w:color w:val="0000FF"/>
                  </w:rPr>
                  <m:t>K</m:t>
                </m:r>
              </m:e>
              <m:sup>
                <m:r>
                  <w:rPr>
                    <w:rFonts w:ascii="Cambria Math" w:eastAsiaTheme="minorEastAsia" w:hAnsi="Cambria Math"/>
                    <w:color w:val="0000FF"/>
                  </w:rPr>
                  <m:t>0</m:t>
                </m:r>
              </m:sup>
            </m:sSup>
          </m:e>
        </m:acc>
      </m:oMath>
      <w:r w:rsidR="00DB19E1" w:rsidRPr="00EF6DA4">
        <w:rPr>
          <w:rFonts w:eastAsiaTheme="minorEastAsia"/>
          <w:color w:val="0000FF"/>
        </w:rPr>
        <w:t xml:space="preserve"> ratio expected to be close to 1:1</w:t>
      </w:r>
      <w:r w:rsidR="00EF6DA4">
        <w:rPr>
          <w:rFonts w:eastAsiaTheme="minorEastAsia"/>
          <w:color w:val="0000FF"/>
        </w:rPr>
        <w:t>.</w:t>
      </w:r>
      <w:r w:rsidR="00DB19E1" w:rsidRPr="00EF6DA4">
        <w:rPr>
          <w:rFonts w:eastAsiaTheme="minorEastAsia"/>
          <w:color w:val="0000FF"/>
        </w:rPr>
        <w:t>”</w:t>
      </w:r>
    </w:p>
    <w:p w14:paraId="7033E64F" w14:textId="77777777" w:rsidR="00EF6DA4" w:rsidRDefault="00EF6DA4" w:rsidP="007F1F6F">
      <w:pPr>
        <w:autoSpaceDE w:val="0"/>
        <w:autoSpaceDN w:val="0"/>
        <w:adjustRightInd w:val="0"/>
        <w:spacing w:after="0" w:line="240" w:lineRule="auto"/>
        <w:jc w:val="both"/>
        <w:rPr>
          <w:rFonts w:ascii="Times New Roman" w:hAnsi="Times New Roman" w:cs="Times New Roman"/>
          <w:color w:val="0000FF"/>
          <w:sz w:val="24"/>
          <w:szCs w:val="24"/>
        </w:rPr>
      </w:pPr>
    </w:p>
    <w:p w14:paraId="4127C2DE" w14:textId="530B366D" w:rsidR="00A377BB" w:rsidRPr="00EF6DA4" w:rsidRDefault="00A377BB" w:rsidP="007F1F6F">
      <w:pPr>
        <w:autoSpaceDE w:val="0"/>
        <w:autoSpaceDN w:val="0"/>
        <w:adjustRightInd w:val="0"/>
        <w:spacing w:after="0" w:line="240" w:lineRule="auto"/>
        <w:jc w:val="both"/>
        <w:rPr>
          <w:rFonts w:ascii="Times New Roman" w:hAnsi="Times New Roman" w:cs="Times New Roman"/>
          <w:color w:val="0000FF"/>
          <w:sz w:val="24"/>
          <w:szCs w:val="24"/>
        </w:rPr>
      </w:pPr>
      <w:r w:rsidRPr="00EF6DA4">
        <w:rPr>
          <w:rFonts w:ascii="Times New Roman" w:hAnsi="Times New Roman" w:cs="Times New Roman"/>
          <w:color w:val="0000FF"/>
          <w:sz w:val="24"/>
          <w:szCs w:val="24"/>
        </w:rPr>
        <w:t>The appropriate line in Fig 22 caption on pg</w:t>
      </w:r>
      <w:r w:rsidR="00EF6DA4">
        <w:rPr>
          <w:rFonts w:ascii="Times New Roman" w:hAnsi="Times New Roman" w:cs="Times New Roman"/>
          <w:color w:val="0000FF"/>
          <w:sz w:val="24"/>
          <w:szCs w:val="24"/>
        </w:rPr>
        <w:t>.</w:t>
      </w:r>
      <w:r w:rsidRPr="00EF6DA4">
        <w:rPr>
          <w:rFonts w:ascii="Times New Roman" w:hAnsi="Times New Roman" w:cs="Times New Roman"/>
          <w:color w:val="0000FF"/>
          <w:sz w:val="24"/>
          <w:szCs w:val="24"/>
        </w:rPr>
        <w:t xml:space="preserve"> 31 has reading as</w:t>
      </w:r>
      <w:r w:rsidRPr="00EF6DA4">
        <w:rPr>
          <w:rFonts w:ascii="Times New Roman" w:hAnsi="Times New Roman" w:cs="Times New Roman"/>
          <w:i/>
          <w:iCs/>
          <w:color w:val="0000FF"/>
          <w:sz w:val="24"/>
          <w:szCs w:val="24"/>
        </w:rPr>
        <w:t xml:space="preserve"> ``</w:t>
      </w:r>
      <w:r w:rsidRPr="00EF6DA4">
        <w:rPr>
          <w:rFonts w:ascii="Times New Roman" w:hAnsi="Times New Roman" w:cs="Times New Roman"/>
          <w:i/>
          <w:iCs/>
          <w:color w:val="0000FF"/>
          <w:sz w:val="24"/>
          <w:szCs w:val="24"/>
          <w:u w:val="single"/>
        </w:rPr>
        <w:t>Left</w:t>
      </w:r>
      <w:r w:rsidRPr="00EF6DA4">
        <w:rPr>
          <w:rFonts w:ascii="Times New Roman" w:hAnsi="Times New Roman" w:cs="Times New Roman"/>
          <w:i/>
          <w:iCs/>
          <w:color w:val="0000FF"/>
          <w:sz w:val="24"/>
          <w:szCs w:val="24"/>
        </w:rPr>
        <w:t>: Nominal Hall D configuration with an amorphous radiator of 0.05% R.L.</w:t>
      </w:r>
      <w:r w:rsidRPr="00EF6DA4">
        <w:rPr>
          <w:rFonts w:ascii="Times New Roman" w:hAnsi="Times New Roman" w:cs="Times New Roman"/>
          <w:color w:val="0000FF"/>
          <w:sz w:val="24"/>
          <w:szCs w:val="24"/>
        </w:rPr>
        <w:t>”</w:t>
      </w:r>
    </w:p>
    <w:p w14:paraId="2AAA7FAC" w14:textId="77777777" w:rsidR="007F1F6F" w:rsidRPr="00EF6DA4" w:rsidRDefault="007F1F6F" w:rsidP="007F1F6F">
      <w:pPr>
        <w:autoSpaceDE w:val="0"/>
        <w:autoSpaceDN w:val="0"/>
        <w:adjustRightInd w:val="0"/>
        <w:spacing w:after="0" w:line="240" w:lineRule="auto"/>
        <w:jc w:val="both"/>
        <w:rPr>
          <w:rFonts w:ascii="Times New Roman" w:hAnsi="Times New Roman" w:cs="Times New Roman"/>
          <w:color w:val="0000FF"/>
          <w:sz w:val="24"/>
          <w:szCs w:val="24"/>
        </w:rPr>
      </w:pPr>
    </w:p>
    <w:p w14:paraId="0BB91205" w14:textId="4177C417" w:rsidR="00017F4A" w:rsidRPr="00EF6DA4" w:rsidRDefault="00017F4A" w:rsidP="007F1F6F">
      <w:pPr>
        <w:autoSpaceDE w:val="0"/>
        <w:autoSpaceDN w:val="0"/>
        <w:adjustRightInd w:val="0"/>
        <w:spacing w:after="0" w:line="240" w:lineRule="auto"/>
        <w:jc w:val="both"/>
        <w:rPr>
          <w:rFonts w:ascii="Times New Roman" w:hAnsi="Times New Roman" w:cs="Times New Roman"/>
          <w:i/>
          <w:iCs/>
          <w:color w:val="0000FF"/>
          <w:sz w:val="24"/>
          <w:szCs w:val="24"/>
        </w:rPr>
      </w:pPr>
      <w:r w:rsidRPr="00EF6DA4">
        <w:rPr>
          <w:rFonts w:ascii="Times New Roman" w:hAnsi="Times New Roman" w:cs="Times New Roman"/>
          <w:color w:val="0000FF"/>
          <w:sz w:val="24"/>
          <w:szCs w:val="24"/>
        </w:rPr>
        <w:t>Then 2</w:t>
      </w:r>
      <w:r w:rsidRPr="00EF6DA4">
        <w:rPr>
          <w:rFonts w:ascii="Times New Roman" w:hAnsi="Times New Roman" w:cs="Times New Roman"/>
          <w:color w:val="0000FF"/>
          <w:sz w:val="24"/>
          <w:szCs w:val="24"/>
          <w:vertAlign w:val="superscript"/>
        </w:rPr>
        <w:t>nd</w:t>
      </w:r>
      <w:r w:rsidRPr="00EF6DA4">
        <w:rPr>
          <w:rFonts w:ascii="Times New Roman" w:hAnsi="Times New Roman" w:cs="Times New Roman"/>
          <w:color w:val="0000FF"/>
          <w:sz w:val="24"/>
          <w:szCs w:val="24"/>
        </w:rPr>
        <w:t xml:space="preserve"> paragraph </w:t>
      </w:r>
      <w:r w:rsidR="00A377BB" w:rsidRPr="00EF6DA4">
        <w:rPr>
          <w:rFonts w:ascii="Times New Roman" w:hAnsi="Times New Roman" w:cs="Times New Roman"/>
          <w:color w:val="0000FF"/>
          <w:sz w:val="24"/>
          <w:szCs w:val="24"/>
        </w:rPr>
        <w:t xml:space="preserve">on </w:t>
      </w:r>
      <w:proofErr w:type="spellStart"/>
      <w:r w:rsidR="00A377BB" w:rsidRPr="00EF6DA4">
        <w:rPr>
          <w:rFonts w:ascii="Times New Roman" w:hAnsi="Times New Roman" w:cs="Times New Roman"/>
          <w:color w:val="0000FF"/>
          <w:sz w:val="24"/>
          <w:szCs w:val="24"/>
        </w:rPr>
        <w:t>pg</w:t>
      </w:r>
      <w:proofErr w:type="spellEnd"/>
      <w:r w:rsidR="00A377BB" w:rsidRPr="00EF6DA4">
        <w:rPr>
          <w:rFonts w:ascii="Times New Roman" w:hAnsi="Times New Roman" w:cs="Times New Roman"/>
          <w:color w:val="0000FF"/>
          <w:sz w:val="24"/>
          <w:szCs w:val="24"/>
        </w:rPr>
        <w:t xml:space="preserve"> 32 has reading </w:t>
      </w:r>
      <w:r w:rsidR="00A377BB" w:rsidRPr="00EF6DA4">
        <w:rPr>
          <w:rFonts w:ascii="Times New Roman" w:hAnsi="Times New Roman" w:cs="Times New Roman"/>
          <w:i/>
          <w:iCs/>
          <w:color w:val="0000FF"/>
          <w:sz w:val="24"/>
          <w:szCs w:val="24"/>
        </w:rPr>
        <w:t>``</w:t>
      </w:r>
      <w:r w:rsidRPr="00EF6DA4">
        <w:rPr>
          <w:rFonts w:ascii="Times New Roman" w:hAnsi="Times New Roman" w:cs="Times New Roman"/>
          <w:i/>
          <w:iCs/>
          <w:color w:val="0000FF"/>
          <w:sz w:val="24"/>
          <w:szCs w:val="24"/>
        </w:rPr>
        <w:t xml:space="preserve">Additionally, we show in Fig. 22 a comparison of radiation dose rates in the Tagger Hall at 5 </w:t>
      </w:r>
      <w:r w:rsidRPr="00EF6DA4">
        <w:rPr>
          <w:rFonts w:ascii="Symbol" w:hAnsi="Symbol" w:cs="Times New Roman"/>
          <w:i/>
          <w:iCs/>
          <w:color w:val="0000FF"/>
          <w:sz w:val="24"/>
          <w:szCs w:val="24"/>
        </w:rPr>
        <w:t>m</w:t>
      </w:r>
      <w:r w:rsidRPr="00EF6DA4">
        <w:rPr>
          <w:rFonts w:ascii="Times New Roman" w:hAnsi="Times New Roman" w:cs="Times New Roman"/>
          <w:i/>
          <w:iCs/>
          <w:color w:val="0000FF"/>
          <w:sz w:val="24"/>
          <w:szCs w:val="24"/>
        </w:rPr>
        <w:t xml:space="preserve">A beam current between a radiator of 0.05% R.L. in the standard </w:t>
      </w:r>
      <w:proofErr w:type="spellStart"/>
      <w:r w:rsidRPr="00EF6DA4">
        <w:rPr>
          <w:rFonts w:ascii="Times New Roman" w:hAnsi="Times New Roman" w:cs="Times New Roman"/>
          <w:i/>
          <w:iCs/>
          <w:color w:val="0000FF"/>
          <w:sz w:val="24"/>
          <w:szCs w:val="24"/>
        </w:rPr>
        <w:t>GlueX</w:t>
      </w:r>
      <w:proofErr w:type="spellEnd"/>
      <w:r w:rsidRPr="00EF6DA4">
        <w:rPr>
          <w:rFonts w:ascii="Times New Roman" w:hAnsi="Times New Roman" w:cs="Times New Roman"/>
          <w:i/>
          <w:iCs/>
          <w:color w:val="0000FF"/>
          <w:sz w:val="24"/>
          <w:szCs w:val="24"/>
        </w:rPr>
        <w:t xml:space="preserve"> beamline configuration and an early configuration of the CPS. Similar levels are seen for both configurations, showing more evidence that the CPS will deliver a level of radiation not higher than what could potentially be seen in standard </w:t>
      </w:r>
      <w:proofErr w:type="spellStart"/>
      <w:r w:rsidRPr="00EF6DA4">
        <w:rPr>
          <w:rFonts w:ascii="Times New Roman" w:hAnsi="Times New Roman" w:cs="Times New Roman"/>
          <w:i/>
          <w:iCs/>
          <w:color w:val="0000FF"/>
          <w:sz w:val="24"/>
          <w:szCs w:val="24"/>
        </w:rPr>
        <w:t>GlueX</w:t>
      </w:r>
      <w:proofErr w:type="spellEnd"/>
      <w:r w:rsidRPr="00EF6DA4">
        <w:rPr>
          <w:rFonts w:ascii="Times New Roman" w:hAnsi="Times New Roman" w:cs="Times New Roman"/>
          <w:i/>
          <w:iCs/>
          <w:color w:val="0000FF"/>
          <w:sz w:val="24"/>
          <w:szCs w:val="24"/>
        </w:rPr>
        <w:t xml:space="preserve"> configuration operating at the maximum beam current of 5 </w:t>
      </w:r>
      <w:r w:rsidRPr="00EF6DA4">
        <w:rPr>
          <w:rFonts w:ascii="Symbol" w:hAnsi="Symbol" w:cs="Times New Roman"/>
          <w:i/>
          <w:iCs/>
          <w:color w:val="0000FF"/>
          <w:sz w:val="24"/>
          <w:szCs w:val="24"/>
        </w:rPr>
        <w:t>m</w:t>
      </w:r>
      <w:r w:rsidRPr="00EF6DA4">
        <w:rPr>
          <w:rFonts w:ascii="Times New Roman" w:hAnsi="Times New Roman" w:cs="Times New Roman"/>
          <w:i/>
          <w:iCs/>
          <w:color w:val="0000FF"/>
          <w:sz w:val="24"/>
          <w:szCs w:val="24"/>
        </w:rPr>
        <w:t>A.</w:t>
      </w:r>
      <w:r w:rsidR="007F1F6F" w:rsidRPr="00EF6DA4">
        <w:rPr>
          <w:rFonts w:ascii="Times New Roman" w:hAnsi="Times New Roman" w:cs="Times New Roman"/>
          <w:i/>
          <w:iCs/>
          <w:color w:val="0000FF"/>
          <w:sz w:val="24"/>
          <w:szCs w:val="24"/>
        </w:rPr>
        <w:t>”</w:t>
      </w:r>
    </w:p>
    <w:p w14:paraId="3278575B" w14:textId="77777777" w:rsidR="00DB19E1" w:rsidRPr="00EF6DA4" w:rsidRDefault="00DB19E1" w:rsidP="00017F4A">
      <w:pPr>
        <w:autoSpaceDE w:val="0"/>
        <w:autoSpaceDN w:val="0"/>
        <w:adjustRightInd w:val="0"/>
        <w:spacing w:after="0" w:line="240" w:lineRule="auto"/>
        <w:rPr>
          <w:rFonts w:ascii="Times New Roman" w:hAnsi="Times New Roman" w:cs="Times New Roman"/>
          <w:sz w:val="24"/>
          <w:szCs w:val="24"/>
        </w:rPr>
      </w:pPr>
    </w:p>
    <w:p w14:paraId="050E6533" w14:textId="51001B6D" w:rsidR="007F1F6F" w:rsidRPr="00EF6DA4" w:rsidRDefault="007F1F6F" w:rsidP="007F1F6F">
      <w:pPr>
        <w:pStyle w:val="Default"/>
        <w:jc w:val="both"/>
      </w:pPr>
      <w:r w:rsidRPr="00EF6DA4">
        <w:rPr>
          <w:b/>
          <w:bCs/>
        </w:rPr>
        <w:t xml:space="preserve">Major modifications: </w:t>
      </w:r>
    </w:p>
    <w:p w14:paraId="5BD7F790" w14:textId="4D22F439" w:rsidR="007F1F6F" w:rsidRPr="00EF6DA4" w:rsidRDefault="007F1F6F" w:rsidP="007F1F6F">
      <w:pPr>
        <w:pStyle w:val="Default"/>
        <w:jc w:val="both"/>
      </w:pPr>
      <w:r w:rsidRPr="00EF6DA4">
        <w:rPr>
          <w:b/>
          <w:bCs/>
        </w:rPr>
        <w:t>1. Accelerator</w:t>
      </w:r>
      <w:r w:rsidRPr="00EF6DA4">
        <w:t xml:space="preserve">: The bunch spacing of 64 ns (16 MHz repetition rate) will require new injector equipment, estimated at about $130k, as well as an R&amp;D and installation labor performed by the injector group… This may cause interference with the beams for other halls and needs an R&amp;D effort. </w:t>
      </w:r>
    </w:p>
    <w:p w14:paraId="29402356" w14:textId="0C2913F2" w:rsidR="007F1F6F" w:rsidRPr="00EF6DA4" w:rsidRDefault="007F1F6F" w:rsidP="00EF6DA4">
      <w:pPr>
        <w:pStyle w:val="Default"/>
        <w:jc w:val="both"/>
      </w:pPr>
    </w:p>
    <w:p w14:paraId="430DB832" w14:textId="2E073D78" w:rsidR="00972D4C" w:rsidRDefault="00972D4C" w:rsidP="00EF6DA4">
      <w:pPr>
        <w:pStyle w:val="Default"/>
        <w:jc w:val="both"/>
        <w:rPr>
          <w:color w:val="0000FF"/>
        </w:rPr>
      </w:pPr>
      <w:r>
        <w:rPr>
          <w:color w:val="0000FF"/>
        </w:rPr>
        <w:t xml:space="preserve">According to </w:t>
      </w:r>
      <w:proofErr w:type="gramStart"/>
      <w:r>
        <w:rPr>
          <w:color w:val="0000FF"/>
        </w:rPr>
        <w:t>the  accelerator</w:t>
      </w:r>
      <w:proofErr w:type="gramEnd"/>
      <w:r>
        <w:rPr>
          <w:color w:val="0000FF"/>
        </w:rPr>
        <w:t xml:space="preserve"> experts  assessment (in particular Tod </w:t>
      </w:r>
      <w:proofErr w:type="spellStart"/>
      <w:r>
        <w:rPr>
          <w:color w:val="0000FF"/>
        </w:rPr>
        <w:t>Satogata</w:t>
      </w:r>
      <w:proofErr w:type="spellEnd"/>
      <w:r>
        <w:rPr>
          <w:color w:val="0000FF"/>
        </w:rPr>
        <w:t>) it  is  unlikely to  cause  a  problem, however we agree that  for  the full confidence additional R&amp;D may be required.</w:t>
      </w:r>
    </w:p>
    <w:p w14:paraId="5C060CB5" w14:textId="04FD8709" w:rsidR="00972D4C" w:rsidRPr="00EF6DA4" w:rsidRDefault="00972D4C" w:rsidP="00EF6DA4">
      <w:pPr>
        <w:pStyle w:val="Default"/>
        <w:jc w:val="both"/>
        <w:rPr>
          <w:color w:val="0000FF"/>
        </w:rPr>
      </w:pPr>
      <w:proofErr w:type="gramStart"/>
      <w:r>
        <w:rPr>
          <w:color w:val="0000FF"/>
        </w:rPr>
        <w:t>More  details</w:t>
      </w:r>
      <w:proofErr w:type="gramEnd"/>
      <w:r>
        <w:rPr>
          <w:color w:val="0000FF"/>
        </w:rPr>
        <w:t xml:space="preserve"> about electron beam delivery are  outlined in the Sec. 5.1 of the proposal.</w:t>
      </w:r>
    </w:p>
    <w:p w14:paraId="268738C3" w14:textId="77777777" w:rsidR="007F1F6F" w:rsidRPr="00EF6DA4" w:rsidRDefault="007F1F6F" w:rsidP="00EF6DA4">
      <w:pPr>
        <w:pStyle w:val="Default"/>
        <w:jc w:val="both"/>
      </w:pPr>
    </w:p>
    <w:p w14:paraId="2C995BD8" w14:textId="77777777" w:rsidR="007F1F6F" w:rsidRPr="00EF6DA4" w:rsidRDefault="007F1F6F" w:rsidP="00EF6DA4">
      <w:pPr>
        <w:pStyle w:val="Default"/>
        <w:jc w:val="both"/>
      </w:pPr>
      <w:r w:rsidRPr="00EF6DA4">
        <w:t xml:space="preserve">2. </w:t>
      </w:r>
      <w:r w:rsidRPr="00EF6DA4">
        <w:rPr>
          <w:b/>
          <w:bCs/>
        </w:rPr>
        <w:t xml:space="preserve">Compact Photon Source </w:t>
      </w:r>
      <w:r w:rsidRPr="00EF6DA4">
        <w:t xml:space="preserve">(CPS) </w:t>
      </w:r>
      <w:r w:rsidRPr="00EF6DA4">
        <w:rPr>
          <w:b/>
          <w:bCs/>
        </w:rPr>
        <w:t>(</w:t>
      </w:r>
      <w:r w:rsidRPr="00EF6DA4">
        <w:t xml:space="preserve">updated since 2019 due to the completion of the Hall A/C design) </w:t>
      </w:r>
    </w:p>
    <w:p w14:paraId="55FED4FD" w14:textId="77777777" w:rsidR="007F1F6F" w:rsidRPr="00EF6DA4" w:rsidRDefault="007F1F6F" w:rsidP="00EF6DA4">
      <w:pPr>
        <w:pStyle w:val="Default"/>
        <w:jc w:val="both"/>
        <w:rPr>
          <w:i/>
          <w:iCs/>
          <w:color w:val="0000FF"/>
        </w:rPr>
      </w:pPr>
    </w:p>
    <w:p w14:paraId="144D0B1B" w14:textId="7F18C725" w:rsidR="007F1F6F" w:rsidRPr="00EF6DA4" w:rsidRDefault="007F1F6F" w:rsidP="00EF6DA4">
      <w:pPr>
        <w:pStyle w:val="Default"/>
        <w:jc w:val="both"/>
        <w:rPr>
          <w:color w:val="0000FF"/>
        </w:rPr>
      </w:pPr>
      <w:r w:rsidRPr="00EF6DA4">
        <w:rPr>
          <w:color w:val="0000FF"/>
        </w:rPr>
        <w:t>There is no final design of the CPS for Halls A/C</w:t>
      </w:r>
      <w:r w:rsidR="00972D4C">
        <w:rPr>
          <w:color w:val="0000FF"/>
        </w:rPr>
        <w:t xml:space="preserve"> yet</w:t>
      </w:r>
      <w:r w:rsidRPr="00EF6DA4">
        <w:rPr>
          <w:color w:val="0000FF"/>
        </w:rPr>
        <w:t>, while the</w:t>
      </w:r>
      <w:r w:rsidR="00972D4C">
        <w:rPr>
          <w:color w:val="0000FF"/>
        </w:rPr>
        <w:t xml:space="preserve"> </w:t>
      </w:r>
      <w:r w:rsidRPr="00EF6DA4">
        <w:rPr>
          <w:color w:val="0000FF"/>
        </w:rPr>
        <w:t xml:space="preserve">conceptual design </w:t>
      </w:r>
      <w:r w:rsidR="00EF6DA4">
        <w:rPr>
          <w:color w:val="0000FF"/>
        </w:rPr>
        <w:t xml:space="preserve">of CPS which </w:t>
      </w:r>
      <w:r w:rsidR="00972D4C">
        <w:rPr>
          <w:color w:val="0000FF"/>
        </w:rPr>
        <w:t>is</w:t>
      </w:r>
      <w:r w:rsidR="00EF6DA4">
        <w:rPr>
          <w:color w:val="0000FF"/>
        </w:rPr>
        <w:t xml:space="preserve"> published </w:t>
      </w:r>
      <w:r w:rsidR="00972D4C">
        <w:rPr>
          <w:color w:val="0000FF"/>
        </w:rPr>
        <w:t>as</w:t>
      </w:r>
      <w:r w:rsidR="00EF6DA4">
        <w:rPr>
          <w:color w:val="0000FF"/>
        </w:rPr>
        <w:t xml:space="preserve"> </w:t>
      </w:r>
      <w:proofErr w:type="gramStart"/>
      <w:r w:rsidR="00EF6DA4">
        <w:rPr>
          <w:color w:val="0000FF"/>
        </w:rPr>
        <w:t>NIM</w:t>
      </w:r>
      <w:r w:rsidR="00972D4C">
        <w:rPr>
          <w:color w:val="0000FF"/>
        </w:rPr>
        <w:t xml:space="preserve">  paper</w:t>
      </w:r>
      <w:proofErr w:type="gramEnd"/>
      <w:r w:rsidRPr="00EF6DA4">
        <w:rPr>
          <w:color w:val="0000FF"/>
        </w:rPr>
        <w:t xml:space="preserve">. More details </w:t>
      </w:r>
      <w:r w:rsidR="00972D4C">
        <w:rPr>
          <w:color w:val="0000FF"/>
        </w:rPr>
        <w:t xml:space="preserve">are </w:t>
      </w:r>
      <w:r w:rsidRPr="00EF6DA4">
        <w:rPr>
          <w:color w:val="0000FF"/>
        </w:rPr>
        <w:t xml:space="preserve">in </w:t>
      </w:r>
      <w:r w:rsidR="00972D4C">
        <w:rPr>
          <w:color w:val="0000FF"/>
        </w:rPr>
        <w:t xml:space="preserve">the </w:t>
      </w:r>
      <w:r w:rsidRPr="00EF6DA4">
        <w:rPr>
          <w:color w:val="0000FF"/>
        </w:rPr>
        <w:t>Sec. 5.3 of the proposal.</w:t>
      </w:r>
    </w:p>
    <w:p w14:paraId="4536C77B" w14:textId="77777777" w:rsidR="00BF1CE3" w:rsidRPr="00EF6DA4" w:rsidRDefault="00BF1CE3" w:rsidP="00EF6DA4">
      <w:pPr>
        <w:pStyle w:val="Default"/>
        <w:jc w:val="both"/>
      </w:pPr>
    </w:p>
    <w:p w14:paraId="2998C93A" w14:textId="1387D49E" w:rsidR="00BF1CE3" w:rsidRPr="00EF6DA4" w:rsidRDefault="00BF1CE3" w:rsidP="00EF6DA4">
      <w:pPr>
        <w:pStyle w:val="Default"/>
        <w:jc w:val="both"/>
      </w:pPr>
      <w:r w:rsidRPr="00EF6DA4">
        <w:rPr>
          <w:b/>
          <w:bCs/>
          <w:i/>
          <w:iCs/>
        </w:rPr>
        <w:t xml:space="preserve">Electron beamline: </w:t>
      </w:r>
      <w:r w:rsidRPr="00EF6DA4">
        <w:rPr>
          <w:i/>
          <w:iCs/>
        </w:rPr>
        <w:t>(new development in 2020) CPS</w:t>
      </w:r>
      <w:r w:rsidRPr="00EF6DA4">
        <w:t xml:space="preserve"> operations may require a 15mm beam spot on the radiator (see the previous item in the list). … According to Jay Benesch the cost of such a scenario may be about $1.5M. </w:t>
      </w:r>
    </w:p>
    <w:p w14:paraId="5CF45A28" w14:textId="2533A98B" w:rsidR="00BF1CE3" w:rsidRPr="00EF6DA4" w:rsidRDefault="00BF1CE3" w:rsidP="00EF6DA4">
      <w:pPr>
        <w:pStyle w:val="Default"/>
        <w:jc w:val="both"/>
      </w:pPr>
    </w:p>
    <w:p w14:paraId="2C6FDF36" w14:textId="50180826" w:rsidR="001F658B" w:rsidRDefault="00BF1CE3" w:rsidP="00EF6DA4">
      <w:pPr>
        <w:pStyle w:val="Default"/>
        <w:jc w:val="both"/>
        <w:rPr>
          <w:color w:val="0000FF"/>
        </w:rPr>
      </w:pPr>
      <w:r w:rsidRPr="00EF6DA4">
        <w:rPr>
          <w:color w:val="0000FF"/>
        </w:rPr>
        <w:lastRenderedPageBreak/>
        <w:t xml:space="preserve">Unfortunately, </w:t>
      </w:r>
      <w:r w:rsidR="00972D4C">
        <w:rPr>
          <w:color w:val="0000FF"/>
        </w:rPr>
        <w:t xml:space="preserve">the </w:t>
      </w:r>
      <w:r w:rsidRPr="00EF6DA4">
        <w:rPr>
          <w:color w:val="0000FF"/>
        </w:rPr>
        <w:t>TAC report did</w:t>
      </w:r>
      <w:r w:rsidR="00972D4C">
        <w:rPr>
          <w:color w:val="0000FF"/>
        </w:rPr>
        <w:t xml:space="preserve">n’t elaborate on details of such an estimation. The </w:t>
      </w:r>
      <w:r w:rsidR="001F658B">
        <w:rPr>
          <w:color w:val="0000FF"/>
        </w:rPr>
        <w:t xml:space="preserve">final design of the </w:t>
      </w:r>
      <w:proofErr w:type="gramStart"/>
      <w:r w:rsidR="001F658B">
        <w:rPr>
          <w:color w:val="0000FF"/>
        </w:rPr>
        <w:t>CPS  is</w:t>
      </w:r>
      <w:proofErr w:type="gramEnd"/>
      <w:r w:rsidR="001F658B">
        <w:rPr>
          <w:color w:val="0000FF"/>
        </w:rPr>
        <w:t xml:space="preserve"> still being optimized.</w:t>
      </w:r>
    </w:p>
    <w:p w14:paraId="44FD7BD0" w14:textId="77777777" w:rsidR="001F658B" w:rsidRDefault="001F658B" w:rsidP="00EF6DA4">
      <w:pPr>
        <w:pStyle w:val="Default"/>
        <w:jc w:val="both"/>
        <w:rPr>
          <w:color w:val="0000FF"/>
        </w:rPr>
      </w:pPr>
    </w:p>
    <w:p w14:paraId="79A61183" w14:textId="41AC9820" w:rsidR="00353415" w:rsidRPr="00EF6DA4" w:rsidRDefault="00353415" w:rsidP="00353415">
      <w:pPr>
        <w:pStyle w:val="Default"/>
        <w:jc w:val="both"/>
        <w:rPr>
          <w:b/>
          <w:bCs/>
        </w:rPr>
      </w:pPr>
      <w:r w:rsidRPr="00EF6DA4">
        <w:t xml:space="preserve">6. </w:t>
      </w:r>
      <w:r w:rsidRPr="00EF6DA4">
        <w:rPr>
          <w:b/>
          <w:bCs/>
        </w:rPr>
        <w:t xml:space="preserve">Kaon Flux Monitor: </w:t>
      </w:r>
      <w:r w:rsidRPr="00EF6DA4">
        <w:t xml:space="preserve">will be a new device consisting of a superconducting solenoid and a detector system, all installed on the platform downstream of the Pair Spectrometer (PS) magnet. The plan is to keep the PS magnet off in order to extend the effective decay volume. A conceptual design has been presented. Achieving a few percent precision appears challenging. The detector should be able to separate well the 3 decays modes. The spectrum of the detected kaons will be different from the spectrum of the kaons reaching the target. On the technical side, the installation and operation of another superconducting magnet will require considerable efforts. </w:t>
      </w:r>
    </w:p>
    <w:p w14:paraId="0B351D58" w14:textId="77777777" w:rsidR="00353415" w:rsidRPr="00EF6DA4" w:rsidRDefault="00353415" w:rsidP="00BF1CE3">
      <w:pPr>
        <w:pStyle w:val="Default"/>
        <w:rPr>
          <w:b/>
          <w:bCs/>
        </w:rPr>
      </w:pPr>
    </w:p>
    <w:p w14:paraId="5232BB64" w14:textId="5AE568DA" w:rsidR="00DB19E1" w:rsidRPr="00EF6DA4" w:rsidRDefault="00DB19E1" w:rsidP="00084522">
      <w:pPr>
        <w:pStyle w:val="Default"/>
        <w:jc w:val="both"/>
        <w:rPr>
          <w:color w:val="0000FF"/>
        </w:rPr>
      </w:pPr>
      <w:r w:rsidRPr="00EF6DA4">
        <w:rPr>
          <w:b/>
          <w:bCs/>
          <w:i/>
          <w:iCs/>
          <w:color w:val="0000FF"/>
        </w:rPr>
        <w:t xml:space="preserve">There are two statements from the reviewer regarding Flux monitor which are not fully correct </w:t>
      </w:r>
      <w:r w:rsidR="00084522" w:rsidRPr="00EF6DA4">
        <w:rPr>
          <w:b/>
          <w:bCs/>
          <w:i/>
          <w:iCs/>
          <w:color w:val="0000FF"/>
        </w:rPr>
        <w:t xml:space="preserve">and </w:t>
      </w:r>
      <w:r w:rsidRPr="00EF6DA4">
        <w:rPr>
          <w:b/>
          <w:bCs/>
          <w:i/>
          <w:iCs/>
          <w:color w:val="0000FF"/>
        </w:rPr>
        <w:t>require clarification:</w:t>
      </w:r>
      <w:r w:rsidRPr="00EF6DA4">
        <w:rPr>
          <w:i/>
          <w:iCs/>
          <w:color w:val="0000FF"/>
        </w:rPr>
        <w:t xml:space="preserve"> “</w:t>
      </w:r>
      <w:r w:rsidRPr="00EF6DA4">
        <w:rPr>
          <w:i/>
          <w:iCs/>
          <w:color w:val="0000FF"/>
          <w:lang w:val="en-GB"/>
        </w:rPr>
        <w:t>The detector should be able to separate well the 3 decays modes.” and “The spectrum of the detected kaons will be different from the spectrum of the kaons reaching the target</w:t>
      </w:r>
      <w:r w:rsidRPr="00EF6DA4">
        <w:rPr>
          <w:i/>
          <w:iCs/>
          <w:color w:val="0000FF"/>
        </w:rPr>
        <w:t>”.</w:t>
      </w:r>
      <w:r w:rsidR="00353415" w:rsidRPr="00EF6DA4">
        <w:rPr>
          <w:i/>
          <w:iCs/>
          <w:color w:val="0000FF"/>
        </w:rPr>
        <w:t xml:space="preserve"> </w:t>
      </w:r>
      <w:r w:rsidRPr="00EF6DA4">
        <w:rPr>
          <w:color w:val="0000FF"/>
        </w:rPr>
        <w:t>The flux monitor does not! need to separate various decay modes to reconstruct the flux. The branching ratio</w:t>
      </w:r>
      <w:r w:rsidR="00084522" w:rsidRPr="00EF6DA4">
        <w:rPr>
          <w:color w:val="0000FF"/>
        </w:rPr>
        <w:t>s</w:t>
      </w:r>
      <w:r w:rsidRPr="00EF6DA4">
        <w:rPr>
          <w:color w:val="0000FF"/>
        </w:rPr>
        <w:t xml:space="preserve"> between major decay channels </w:t>
      </w:r>
      <w:r w:rsidR="00084522" w:rsidRPr="00EF6DA4">
        <w:rPr>
          <w:color w:val="0000FF"/>
        </w:rPr>
        <w:t>are</w:t>
      </w:r>
      <w:r w:rsidRPr="00EF6DA4">
        <w:rPr>
          <w:color w:val="0000FF"/>
        </w:rPr>
        <w:t xml:space="preserve"> know</w:t>
      </w:r>
      <w:r w:rsidR="00084522" w:rsidRPr="00EF6DA4">
        <w:rPr>
          <w:color w:val="0000FF"/>
        </w:rPr>
        <w:t xml:space="preserve">n </w:t>
      </w:r>
      <w:r w:rsidRPr="00EF6DA4">
        <w:rPr>
          <w:color w:val="0000FF"/>
        </w:rPr>
        <w:t>extremely well, so as their decay kinematics</w:t>
      </w:r>
      <w:r w:rsidR="00352C81" w:rsidRPr="00EF6DA4">
        <w:rPr>
          <w:color w:val="0000FF"/>
        </w:rPr>
        <w:t xml:space="preserve">, hence the shape of </w:t>
      </w:r>
      <m:oMath>
        <m:sSub>
          <m:sSubPr>
            <m:ctrlPr>
              <w:rPr>
                <w:rFonts w:ascii="Cambria Math" w:hAnsi="Cambria Math"/>
                <w:color w:val="0000FF"/>
              </w:rPr>
            </m:ctrlPr>
          </m:sSubPr>
          <m:e>
            <m:r>
              <m:rPr>
                <m:sty m:val="p"/>
              </m:rPr>
              <w:rPr>
                <w:rFonts w:ascii="Cambria Math" w:hAnsi="Cambria Math"/>
                <w:color w:val="0000FF"/>
              </w:rPr>
              <m:t>K</m:t>
            </m:r>
          </m:e>
          <m:sub>
            <m:r>
              <m:rPr>
                <m:sty m:val="p"/>
              </m:rPr>
              <w:rPr>
                <w:rFonts w:ascii="Cambria Math" w:hAnsi="Cambria Math"/>
                <w:color w:val="0000FF"/>
              </w:rPr>
              <m:t>L</m:t>
            </m:r>
          </m:sub>
        </m:sSub>
        <m:r>
          <m:rPr>
            <m:sty m:val="p"/>
          </m:rPr>
          <w:rPr>
            <w:rFonts w:ascii="Cambria Math" w:hAnsi="Cambria Math"/>
            <w:color w:val="0000FF"/>
          </w:rPr>
          <m:t>→2charged+X</m:t>
        </m:r>
      </m:oMath>
      <w:r w:rsidR="00352C81" w:rsidRPr="00EF6DA4">
        <w:rPr>
          <w:rFonts w:eastAsiaTheme="minorEastAsia"/>
          <w:color w:val="0000FF"/>
        </w:rPr>
        <w:t xml:space="preserve"> decays can be reproduced by MC; its scaling would give the flux. Particle identification and decay separation within </w:t>
      </w:r>
      <w:r w:rsidR="00084522" w:rsidRPr="00EF6DA4">
        <w:rPr>
          <w:rFonts w:eastAsiaTheme="minorEastAsia"/>
          <w:color w:val="0000FF"/>
        </w:rPr>
        <w:t xml:space="preserve">the </w:t>
      </w:r>
      <w:r w:rsidR="00352C81" w:rsidRPr="00EF6DA4">
        <w:rPr>
          <w:rFonts w:eastAsiaTheme="minorEastAsia"/>
          <w:color w:val="0000FF"/>
        </w:rPr>
        <w:t xml:space="preserve">FM is designed to ensure the absence of any </w:t>
      </w:r>
      <w:r w:rsidR="001F658B">
        <w:rPr>
          <w:rFonts w:eastAsiaTheme="minorEastAsia"/>
          <w:color w:val="0000FF"/>
        </w:rPr>
        <w:t xml:space="preserve">sizable </w:t>
      </w:r>
      <w:r w:rsidR="00352C81" w:rsidRPr="00EF6DA4">
        <w:rPr>
          <w:rFonts w:eastAsiaTheme="minorEastAsia"/>
          <w:color w:val="0000FF"/>
        </w:rPr>
        <w:t xml:space="preserve">unexpected </w:t>
      </w:r>
      <w:r w:rsidR="001F658B">
        <w:rPr>
          <w:rFonts w:eastAsiaTheme="minorEastAsia"/>
          <w:color w:val="0000FF"/>
        </w:rPr>
        <w:t xml:space="preserve">background in the </w:t>
      </w:r>
      <w:r w:rsidR="00084522" w:rsidRPr="00EF6DA4">
        <w:rPr>
          <w:rFonts w:eastAsiaTheme="minorEastAsia"/>
          <w:color w:val="0000FF"/>
        </w:rPr>
        <w:t xml:space="preserve"> </w:t>
      </w:r>
      <m:oMath>
        <m:sSub>
          <m:sSubPr>
            <m:ctrlPr>
              <w:rPr>
                <w:rFonts w:ascii="Cambria Math" w:hAnsi="Cambria Math"/>
                <w:color w:val="0000FF"/>
              </w:rPr>
            </m:ctrlPr>
          </m:sSubPr>
          <m:e>
            <m:r>
              <m:rPr>
                <m:sty m:val="p"/>
              </m:rPr>
              <w:rPr>
                <w:rFonts w:ascii="Cambria Math" w:hAnsi="Cambria Math"/>
                <w:color w:val="0000FF"/>
              </w:rPr>
              <m:t>K</m:t>
            </m:r>
          </m:e>
          <m:sub>
            <m:r>
              <m:rPr>
                <m:sty m:val="p"/>
              </m:rPr>
              <w:rPr>
                <w:rFonts w:ascii="Cambria Math" w:hAnsi="Cambria Math"/>
                <w:color w:val="0000FF"/>
              </w:rPr>
              <m:t>L</m:t>
            </m:r>
          </m:sub>
        </m:sSub>
        <m:r>
          <w:rPr>
            <w:rFonts w:ascii="Cambria Math" w:hAnsi="Cambria Math"/>
            <w:color w:val="0000FF"/>
          </w:rPr>
          <m:t xml:space="preserve"> </m:t>
        </m:r>
      </m:oMath>
      <w:r w:rsidR="00084522" w:rsidRPr="00EF6DA4">
        <w:rPr>
          <w:rFonts w:eastAsiaTheme="minorEastAsia"/>
          <w:color w:val="0000FF"/>
        </w:rPr>
        <w:t>flux determination</w:t>
      </w:r>
      <w:r w:rsidR="00352C81" w:rsidRPr="00EF6DA4">
        <w:rPr>
          <w:rFonts w:eastAsiaTheme="minorEastAsia"/>
          <w:color w:val="0000FF"/>
        </w:rPr>
        <w:t xml:space="preserve">. </w:t>
      </w:r>
    </w:p>
    <w:p w14:paraId="00E852E6" w14:textId="77777777" w:rsidR="00084522" w:rsidRPr="00EF6DA4" w:rsidRDefault="00084522" w:rsidP="00084522">
      <w:pPr>
        <w:pStyle w:val="Default"/>
        <w:jc w:val="both"/>
        <w:rPr>
          <w:rFonts w:eastAsiaTheme="minorEastAsia"/>
          <w:color w:val="0000FF"/>
        </w:rPr>
      </w:pPr>
    </w:p>
    <w:p w14:paraId="3B3F3727" w14:textId="3D866046" w:rsidR="00352C81" w:rsidRPr="00EF6DA4" w:rsidRDefault="00352C81" w:rsidP="00084522">
      <w:pPr>
        <w:pStyle w:val="Default"/>
        <w:jc w:val="both"/>
        <w:rPr>
          <w:color w:val="0000FF"/>
        </w:rPr>
      </w:pPr>
      <w:r w:rsidRPr="00EF6DA4">
        <w:rPr>
          <w:rFonts w:eastAsiaTheme="minorEastAsia"/>
          <w:color w:val="0000FF"/>
        </w:rPr>
        <w:t>Regarding spec</w:t>
      </w:r>
      <w:r w:rsidR="00AF33A3" w:rsidRPr="00EF6DA4">
        <w:rPr>
          <w:rFonts w:eastAsiaTheme="minorEastAsia"/>
          <w:color w:val="0000FF"/>
        </w:rPr>
        <w:t>t</w:t>
      </w:r>
      <w:r w:rsidRPr="00EF6DA4">
        <w:rPr>
          <w:rFonts w:eastAsiaTheme="minorEastAsia"/>
          <w:color w:val="0000FF"/>
        </w:rPr>
        <w:t xml:space="preserve">rum of kaons: Kaons are decaying </w:t>
      </w:r>
      <w:r w:rsidR="00084522" w:rsidRPr="00EF6DA4">
        <w:rPr>
          <w:rFonts w:eastAsiaTheme="minorEastAsia"/>
          <w:color w:val="0000FF"/>
        </w:rPr>
        <w:t xml:space="preserve">in flight, so kaon flux in any point of space, even within the target, is different. In this situation the task of the Flux monitor is to measure larger Kaon beam phase space (both in coordinate and momentum space) than seen by the target. Current design of </w:t>
      </w:r>
      <w:r w:rsidR="005A3F63">
        <w:rPr>
          <w:rFonts w:eastAsiaTheme="minorEastAsia"/>
          <w:color w:val="0000FF"/>
        </w:rPr>
        <w:t xml:space="preserve">the </w:t>
      </w:r>
      <w:r w:rsidR="00084522" w:rsidRPr="00EF6DA4">
        <w:rPr>
          <w:rFonts w:eastAsiaTheme="minorEastAsia"/>
          <w:color w:val="0000FF"/>
        </w:rPr>
        <w:t xml:space="preserve">Flux </w:t>
      </w:r>
      <w:r w:rsidR="005A3F63">
        <w:rPr>
          <w:rFonts w:eastAsiaTheme="minorEastAsia"/>
          <w:color w:val="0000FF"/>
        </w:rPr>
        <w:t>M</w:t>
      </w:r>
      <w:r w:rsidR="00084522" w:rsidRPr="00EF6DA4">
        <w:rPr>
          <w:rFonts w:eastAsiaTheme="minorEastAsia"/>
          <w:color w:val="0000FF"/>
        </w:rPr>
        <w:t>onitor at its proposed location fulfill</w:t>
      </w:r>
      <w:r w:rsidR="001F658B">
        <w:rPr>
          <w:rFonts w:eastAsiaTheme="minorEastAsia"/>
          <w:color w:val="0000FF"/>
        </w:rPr>
        <w:t>s</w:t>
      </w:r>
      <w:r w:rsidR="00084522" w:rsidRPr="00EF6DA4">
        <w:rPr>
          <w:rFonts w:eastAsiaTheme="minorEastAsia"/>
          <w:color w:val="0000FF"/>
        </w:rPr>
        <w:t xml:space="preserve"> this crite</w:t>
      </w:r>
      <w:r w:rsidR="001F658B">
        <w:rPr>
          <w:rFonts w:eastAsiaTheme="minorEastAsia"/>
          <w:color w:val="0000FF"/>
        </w:rPr>
        <w:t>ria</w:t>
      </w:r>
      <w:r w:rsidR="00084522" w:rsidRPr="00EF6DA4">
        <w:rPr>
          <w:rFonts w:eastAsiaTheme="minorEastAsia"/>
          <w:color w:val="0000FF"/>
        </w:rPr>
        <w:t xml:space="preserve"> with</w:t>
      </w:r>
      <w:r w:rsidR="005A3F63">
        <w:rPr>
          <w:rFonts w:eastAsiaTheme="minorEastAsia"/>
          <w:color w:val="0000FF"/>
        </w:rPr>
        <w:t xml:space="preserve">in the </w:t>
      </w:r>
      <w:r w:rsidR="00084522" w:rsidRPr="00EF6DA4">
        <w:rPr>
          <w:rFonts w:eastAsiaTheme="minorEastAsia"/>
          <w:color w:val="0000FF"/>
        </w:rPr>
        <w:t>large margins.</w:t>
      </w:r>
    </w:p>
    <w:p w14:paraId="1C6BAF07" w14:textId="77777777" w:rsidR="00DB19E1" w:rsidRPr="00EF6DA4" w:rsidRDefault="00DB19E1" w:rsidP="00BF1CE3">
      <w:pPr>
        <w:pStyle w:val="Default"/>
      </w:pPr>
    </w:p>
    <w:p w14:paraId="7816CA2E" w14:textId="3579B116" w:rsidR="00BF1CE3" w:rsidRPr="00EF6DA4" w:rsidRDefault="00BF1CE3" w:rsidP="00BF1CE3">
      <w:pPr>
        <w:pStyle w:val="Default"/>
        <w:rPr>
          <w:b/>
          <w:bCs/>
        </w:rPr>
      </w:pPr>
      <w:r w:rsidRPr="00EF6DA4">
        <w:rPr>
          <w:b/>
          <w:bCs/>
        </w:rPr>
        <w:t xml:space="preserve">Summary: </w:t>
      </w:r>
    </w:p>
    <w:p w14:paraId="188B73CF" w14:textId="77777777" w:rsidR="00BF1CE3" w:rsidRPr="00EF6DA4" w:rsidRDefault="00BF1CE3" w:rsidP="00BF1CE3">
      <w:pPr>
        <w:pStyle w:val="Default"/>
      </w:pPr>
    </w:p>
    <w:p w14:paraId="1FF1E133" w14:textId="20283A95" w:rsidR="00BF1CE3" w:rsidRPr="00EF6DA4" w:rsidRDefault="00BF1CE3" w:rsidP="00BF1CE3">
      <w:pPr>
        <w:autoSpaceDE w:val="0"/>
        <w:autoSpaceDN w:val="0"/>
        <w:adjustRightInd w:val="0"/>
        <w:spacing w:after="0" w:line="240" w:lineRule="auto"/>
        <w:rPr>
          <w:rFonts w:ascii="Times New Roman" w:hAnsi="Times New Roman" w:cs="Times New Roman"/>
          <w:sz w:val="24"/>
          <w:szCs w:val="24"/>
        </w:rPr>
      </w:pPr>
      <w:r w:rsidRPr="00EF6DA4">
        <w:rPr>
          <w:rFonts w:ascii="Times New Roman" w:hAnsi="Times New Roman" w:cs="Times New Roman"/>
          <w:b/>
          <w:bCs/>
          <w:sz w:val="24"/>
          <w:szCs w:val="24"/>
        </w:rPr>
        <w:t xml:space="preserve">Feasibility: </w:t>
      </w:r>
      <w:r w:rsidRPr="00EF6DA4">
        <w:rPr>
          <w:rFonts w:ascii="Times New Roman" w:hAnsi="Times New Roman" w:cs="Times New Roman"/>
          <w:sz w:val="24"/>
          <w:szCs w:val="24"/>
        </w:rPr>
        <w:t>The project appears to be technically feasible</w:t>
      </w:r>
      <w:r w:rsidR="00E0128A" w:rsidRPr="00EF6DA4">
        <w:rPr>
          <w:rFonts w:ascii="Times New Roman" w:hAnsi="Times New Roman" w:cs="Times New Roman"/>
          <w:sz w:val="24"/>
          <w:szCs w:val="24"/>
        </w:rPr>
        <w:t xml:space="preserve">…. The beamline modifications described by T. </w:t>
      </w:r>
      <w:proofErr w:type="spellStart"/>
      <w:r w:rsidR="00E0128A" w:rsidRPr="00EF6DA4">
        <w:rPr>
          <w:rFonts w:ascii="Times New Roman" w:hAnsi="Times New Roman" w:cs="Times New Roman"/>
          <w:sz w:val="24"/>
          <w:szCs w:val="24"/>
        </w:rPr>
        <w:t>Satogata</w:t>
      </w:r>
      <w:proofErr w:type="spellEnd"/>
      <w:r w:rsidR="00E0128A" w:rsidRPr="00EF6DA4">
        <w:rPr>
          <w:rFonts w:ascii="Times New Roman" w:hAnsi="Times New Roman" w:cs="Times New Roman"/>
          <w:sz w:val="24"/>
          <w:szCs w:val="24"/>
        </w:rPr>
        <w:t xml:space="preserve"> may add $1.5M.</w:t>
      </w:r>
    </w:p>
    <w:p w14:paraId="425C21EC" w14:textId="638E32A0" w:rsidR="00E0128A" w:rsidRPr="00EF6DA4" w:rsidRDefault="00E0128A" w:rsidP="00BF1CE3">
      <w:pPr>
        <w:autoSpaceDE w:val="0"/>
        <w:autoSpaceDN w:val="0"/>
        <w:adjustRightInd w:val="0"/>
        <w:spacing w:after="0" w:line="240" w:lineRule="auto"/>
        <w:rPr>
          <w:rFonts w:ascii="Times New Roman" w:hAnsi="Times New Roman" w:cs="Times New Roman"/>
          <w:sz w:val="24"/>
          <w:szCs w:val="24"/>
        </w:rPr>
      </w:pPr>
    </w:p>
    <w:p w14:paraId="37FA7277" w14:textId="5FC41D98" w:rsidR="00526868" w:rsidRDefault="00EF6DA4" w:rsidP="00BF1CE3">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Thank</w:t>
      </w:r>
      <w:r w:rsidR="00526868">
        <w:rPr>
          <w:rFonts w:ascii="Times New Roman" w:hAnsi="Times New Roman" w:cs="Times New Roman"/>
          <w:color w:val="0000FF"/>
          <w:sz w:val="24"/>
          <w:szCs w:val="24"/>
        </w:rPr>
        <w:t>s</w:t>
      </w:r>
      <w:r>
        <w:rPr>
          <w:rFonts w:ascii="Times New Roman" w:hAnsi="Times New Roman" w:cs="Times New Roman"/>
          <w:color w:val="0000FF"/>
          <w:sz w:val="24"/>
          <w:szCs w:val="24"/>
        </w:rPr>
        <w:t xml:space="preserve"> </w:t>
      </w:r>
      <w:r w:rsidR="00526868">
        <w:rPr>
          <w:rFonts w:ascii="Times New Roman" w:hAnsi="Times New Roman" w:cs="Times New Roman"/>
          <w:color w:val="0000FF"/>
          <w:sz w:val="24"/>
          <w:szCs w:val="24"/>
        </w:rPr>
        <w:t xml:space="preserve">to our reviewers, we are glad to hear that the TAC report concluded </w:t>
      </w:r>
      <w:proofErr w:type="gramStart"/>
      <w:r w:rsidR="00526868">
        <w:rPr>
          <w:rFonts w:ascii="Times New Roman" w:hAnsi="Times New Roman" w:cs="Times New Roman"/>
          <w:color w:val="0000FF"/>
          <w:sz w:val="24"/>
          <w:szCs w:val="24"/>
        </w:rPr>
        <w:t>that  the</w:t>
      </w:r>
      <w:proofErr w:type="gramEnd"/>
      <w:r w:rsidR="00526868">
        <w:rPr>
          <w:rFonts w:ascii="Times New Roman" w:hAnsi="Times New Roman" w:cs="Times New Roman"/>
          <w:color w:val="0000FF"/>
          <w:sz w:val="24"/>
          <w:szCs w:val="24"/>
        </w:rPr>
        <w:t xml:space="preserve">  project is technically feasible.  We agree that additional studies will </w:t>
      </w:r>
      <w:proofErr w:type="gramStart"/>
      <w:r w:rsidR="00526868">
        <w:rPr>
          <w:rFonts w:ascii="Times New Roman" w:hAnsi="Times New Roman" w:cs="Times New Roman"/>
          <w:color w:val="0000FF"/>
          <w:sz w:val="24"/>
          <w:szCs w:val="24"/>
        </w:rPr>
        <w:t>be  needed</w:t>
      </w:r>
      <w:proofErr w:type="gramEnd"/>
      <w:r w:rsidR="00526868">
        <w:rPr>
          <w:rFonts w:ascii="Times New Roman" w:hAnsi="Times New Roman" w:cs="Times New Roman"/>
          <w:color w:val="0000FF"/>
          <w:sz w:val="24"/>
          <w:szCs w:val="24"/>
        </w:rPr>
        <w:t xml:space="preserve"> make  a realistic cost estimate  of the proposed facility.</w:t>
      </w:r>
    </w:p>
    <w:p w14:paraId="2BABFACA" w14:textId="7FC0E59B" w:rsidR="00E0128A" w:rsidRDefault="00E0128A" w:rsidP="00BF1CE3">
      <w:pPr>
        <w:autoSpaceDE w:val="0"/>
        <w:autoSpaceDN w:val="0"/>
        <w:adjustRightInd w:val="0"/>
        <w:spacing w:after="0" w:line="240" w:lineRule="auto"/>
        <w:rPr>
          <w:i/>
          <w:iCs/>
          <w:color w:val="0000FF"/>
          <w:sz w:val="23"/>
          <w:szCs w:val="23"/>
        </w:rPr>
      </w:pPr>
    </w:p>
    <w:p w14:paraId="26355D6D" w14:textId="77777777" w:rsidR="00E0128A" w:rsidRPr="00E0128A" w:rsidRDefault="00E0128A" w:rsidP="00BF1CE3">
      <w:pPr>
        <w:autoSpaceDE w:val="0"/>
        <w:autoSpaceDN w:val="0"/>
        <w:adjustRightInd w:val="0"/>
        <w:spacing w:after="0" w:line="240" w:lineRule="auto"/>
        <w:rPr>
          <w:rFonts w:ascii="Times New Roman" w:hAnsi="Times New Roman" w:cs="Times New Roman"/>
          <w:i/>
          <w:iCs/>
          <w:color w:val="0000FF"/>
          <w:sz w:val="24"/>
          <w:szCs w:val="24"/>
        </w:rPr>
      </w:pPr>
    </w:p>
    <w:sectPr w:rsidR="00E0128A" w:rsidRPr="00E0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BB"/>
    <w:rsid w:val="00017F4A"/>
    <w:rsid w:val="00084522"/>
    <w:rsid w:val="001B1FCD"/>
    <w:rsid w:val="001F658B"/>
    <w:rsid w:val="00352C81"/>
    <w:rsid w:val="00353415"/>
    <w:rsid w:val="00526868"/>
    <w:rsid w:val="005A3F63"/>
    <w:rsid w:val="00633F5D"/>
    <w:rsid w:val="007F1F6F"/>
    <w:rsid w:val="00935CBB"/>
    <w:rsid w:val="00942BA8"/>
    <w:rsid w:val="00972D4C"/>
    <w:rsid w:val="009C1F76"/>
    <w:rsid w:val="00A377BB"/>
    <w:rsid w:val="00AF33A3"/>
    <w:rsid w:val="00BF1CE3"/>
    <w:rsid w:val="00DB19E1"/>
    <w:rsid w:val="00E0128A"/>
    <w:rsid w:val="00EF6D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1440"/>
  <w15:chartTrackingRefBased/>
  <w15:docId w15:val="{A64B1789-6824-4632-828E-78D30758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7B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B1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Strakovsky</dc:creator>
  <cp:keywords/>
  <dc:description/>
  <cp:lastModifiedBy>Amaryan, Moskov</cp:lastModifiedBy>
  <cp:revision>3</cp:revision>
  <dcterms:created xsi:type="dcterms:W3CDTF">2020-08-03T13:11:00Z</dcterms:created>
  <dcterms:modified xsi:type="dcterms:W3CDTF">2020-08-03T13:14:00Z</dcterms:modified>
</cp:coreProperties>
</file>